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5.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0630B5" w:rsidR="00014566" w:rsidP="000630B5" w:rsidRDefault="00014566">
      <w:pPr>
        <w:pStyle w:val="ECHRDecisionBody"/>
        <w:jc w:val="center"/>
      </w:pPr>
      <w:bookmarkStart w:name="_GoBack" w:id="0"/>
      <w:bookmarkEnd w:id="0"/>
    </w:p>
    <w:p w:rsidRPr="000630B5" w:rsidR="00EA3C01" w:rsidP="000630B5" w:rsidRDefault="00EA3C01">
      <w:pPr>
        <w:pStyle w:val="ECHRDecisionBody"/>
        <w:jc w:val="center"/>
      </w:pPr>
    </w:p>
    <w:p w:rsidRPr="000630B5" w:rsidR="00014566" w:rsidP="000630B5" w:rsidRDefault="00AA447A">
      <w:pPr>
        <w:jc w:val="center"/>
      </w:pPr>
      <w:r w:rsidRPr="000630B5">
        <w:t>SECOND</w:t>
      </w:r>
      <w:r w:rsidRPr="000630B5" w:rsidR="00C82108">
        <w:t xml:space="preserve"> SECTION</w:t>
      </w:r>
    </w:p>
    <w:p w:rsidRPr="000630B5" w:rsidR="00EA3C01" w:rsidP="000630B5" w:rsidRDefault="00EA3C01">
      <w:pPr>
        <w:jc w:val="center"/>
      </w:pPr>
    </w:p>
    <w:p w:rsidRPr="000630B5" w:rsidR="00EA3C01" w:rsidP="000630B5" w:rsidRDefault="00EA3C01">
      <w:pPr>
        <w:jc w:val="center"/>
      </w:pPr>
    </w:p>
    <w:p w:rsidRPr="000630B5" w:rsidR="00014566" w:rsidP="000630B5" w:rsidRDefault="00014566">
      <w:pPr>
        <w:jc w:val="center"/>
      </w:pPr>
    </w:p>
    <w:p w:rsidRPr="000630B5" w:rsidR="00014566" w:rsidP="000630B5" w:rsidRDefault="00014566">
      <w:pPr>
        <w:jc w:val="center"/>
      </w:pPr>
    </w:p>
    <w:p w:rsidRPr="000630B5" w:rsidR="00014566" w:rsidP="000630B5" w:rsidRDefault="00014566">
      <w:pPr>
        <w:jc w:val="center"/>
      </w:pPr>
    </w:p>
    <w:p w:rsidRPr="000630B5" w:rsidR="00014566" w:rsidP="000630B5" w:rsidRDefault="00014566">
      <w:pPr>
        <w:jc w:val="center"/>
      </w:pPr>
    </w:p>
    <w:p w:rsidRPr="000630B5" w:rsidR="00014566" w:rsidP="000630B5" w:rsidRDefault="00014566">
      <w:pPr>
        <w:jc w:val="center"/>
      </w:pPr>
    </w:p>
    <w:p w:rsidRPr="000630B5" w:rsidR="00014566" w:rsidP="000630B5" w:rsidRDefault="00014566">
      <w:pPr>
        <w:jc w:val="center"/>
        <w:rPr>
          <w:b/>
        </w:rPr>
      </w:pPr>
      <w:bookmarkStart w:name="To" w:id="1"/>
      <w:r w:rsidRPr="000630B5">
        <w:rPr>
          <w:b/>
        </w:rPr>
        <w:t xml:space="preserve">CASE OF </w:t>
      </w:r>
      <w:bookmarkEnd w:id="1"/>
      <w:r w:rsidRPr="000630B5" w:rsidR="00C82108">
        <w:rPr>
          <w:b/>
        </w:rPr>
        <w:t>HØINESS v. NORWAY</w:t>
      </w:r>
    </w:p>
    <w:p w:rsidRPr="000630B5" w:rsidR="00014566" w:rsidP="000630B5" w:rsidRDefault="00014566">
      <w:pPr>
        <w:jc w:val="center"/>
      </w:pPr>
    </w:p>
    <w:p w:rsidRPr="000630B5" w:rsidR="00014566" w:rsidP="000630B5" w:rsidRDefault="00014566">
      <w:pPr>
        <w:jc w:val="center"/>
        <w:rPr>
          <w:i/>
        </w:rPr>
      </w:pPr>
      <w:r w:rsidRPr="000630B5">
        <w:rPr>
          <w:i/>
        </w:rPr>
        <w:t>(</w:t>
      </w:r>
      <w:r w:rsidRPr="000630B5" w:rsidR="00C82108">
        <w:rPr>
          <w:i/>
        </w:rPr>
        <w:t>Application no. 43624/14</w:t>
      </w:r>
      <w:r w:rsidRPr="000630B5">
        <w:rPr>
          <w:i/>
        </w:rPr>
        <w:t>)</w:t>
      </w:r>
    </w:p>
    <w:p w:rsidRPr="000630B5" w:rsidR="00014566" w:rsidP="000630B5" w:rsidRDefault="00014566">
      <w:pPr>
        <w:jc w:val="center"/>
      </w:pPr>
    </w:p>
    <w:p w:rsidRPr="000630B5" w:rsidR="00014566" w:rsidP="000630B5" w:rsidRDefault="00014566">
      <w:pPr>
        <w:jc w:val="center"/>
      </w:pPr>
    </w:p>
    <w:p w:rsidRPr="000630B5" w:rsidR="00014566" w:rsidP="000630B5" w:rsidRDefault="00014566">
      <w:pPr>
        <w:jc w:val="center"/>
      </w:pPr>
    </w:p>
    <w:p w:rsidRPr="000630B5" w:rsidR="00014566" w:rsidP="000630B5" w:rsidRDefault="00014566">
      <w:pPr>
        <w:jc w:val="center"/>
      </w:pPr>
    </w:p>
    <w:p w:rsidRPr="000630B5" w:rsidR="00014566" w:rsidP="000630B5" w:rsidRDefault="00014566">
      <w:pPr>
        <w:jc w:val="center"/>
      </w:pPr>
    </w:p>
    <w:p w:rsidRPr="000630B5" w:rsidR="0042127A" w:rsidP="000630B5" w:rsidRDefault="0042127A">
      <w:pPr>
        <w:jc w:val="center"/>
        <w:rPr>
          <w:szCs w:val="24"/>
        </w:rPr>
      </w:pPr>
    </w:p>
    <w:p w:rsidRPr="000630B5" w:rsidR="0042127A" w:rsidP="000630B5" w:rsidRDefault="0042127A">
      <w:pPr>
        <w:jc w:val="center"/>
        <w:rPr>
          <w:szCs w:val="24"/>
        </w:rPr>
      </w:pPr>
    </w:p>
    <w:p w:rsidRPr="000630B5" w:rsidR="0042127A" w:rsidP="000630B5" w:rsidRDefault="0042127A">
      <w:pPr>
        <w:jc w:val="center"/>
        <w:rPr>
          <w:szCs w:val="24"/>
        </w:rPr>
      </w:pPr>
    </w:p>
    <w:p w:rsidRPr="000630B5" w:rsidR="00014566" w:rsidP="000630B5" w:rsidRDefault="00EA3C01">
      <w:pPr>
        <w:jc w:val="center"/>
        <w:rPr>
          <w:szCs w:val="24"/>
        </w:rPr>
      </w:pPr>
      <w:r w:rsidRPr="000630B5">
        <w:rPr>
          <w:szCs w:val="24"/>
        </w:rPr>
        <w:t>JUDGMENT</w:t>
      </w:r>
    </w:p>
    <w:p w:rsidRPr="000630B5" w:rsidR="00014566" w:rsidP="000630B5" w:rsidRDefault="00014566">
      <w:pPr>
        <w:jc w:val="center"/>
        <w:rPr>
          <w:szCs w:val="24"/>
        </w:rPr>
      </w:pPr>
    </w:p>
    <w:p w:rsidRPr="000630B5" w:rsidR="00EA3C01" w:rsidP="000630B5" w:rsidRDefault="00EA3C01">
      <w:pPr>
        <w:pStyle w:val="ECHRPara"/>
        <w:ind w:firstLine="0"/>
        <w:jc w:val="center"/>
        <w:rPr>
          <w:lang w:eastAsia="en-GB"/>
        </w:rPr>
      </w:pPr>
    </w:p>
    <w:p w:rsidRPr="000630B5" w:rsidR="00EA3C01" w:rsidP="000630B5" w:rsidRDefault="00EA3C01">
      <w:pPr>
        <w:pStyle w:val="ECHRPara"/>
        <w:ind w:firstLine="0"/>
        <w:jc w:val="center"/>
        <w:rPr>
          <w:lang w:eastAsia="en-GB"/>
        </w:rPr>
      </w:pPr>
      <w:r w:rsidRPr="000630B5">
        <w:rPr>
          <w:lang w:eastAsia="en-GB"/>
        </w:rPr>
        <w:t>STRASBOURG</w:t>
      </w:r>
    </w:p>
    <w:p w:rsidRPr="000630B5" w:rsidR="00EA3C01" w:rsidP="000630B5" w:rsidRDefault="00EA3C01">
      <w:pPr>
        <w:pStyle w:val="ECHRPara"/>
        <w:ind w:firstLine="0"/>
        <w:jc w:val="center"/>
        <w:rPr>
          <w:lang w:eastAsia="en-GB"/>
        </w:rPr>
      </w:pPr>
    </w:p>
    <w:p w:rsidRPr="000630B5" w:rsidR="00EA3C01" w:rsidP="000630B5" w:rsidRDefault="00EA3C01">
      <w:pPr>
        <w:pStyle w:val="ECHRPara"/>
        <w:ind w:firstLine="0"/>
        <w:jc w:val="center"/>
        <w:rPr>
          <w:lang w:eastAsia="en-GB"/>
        </w:rPr>
      </w:pPr>
      <w:r w:rsidRPr="000630B5">
        <w:rPr>
          <w:lang w:eastAsia="en-GB"/>
        </w:rPr>
        <w:t>1</w:t>
      </w:r>
      <w:r w:rsidRPr="000630B5" w:rsidR="007C4888">
        <w:rPr>
          <w:lang w:eastAsia="en-GB"/>
        </w:rPr>
        <w:t>9 March </w:t>
      </w:r>
      <w:r w:rsidRPr="000630B5">
        <w:rPr>
          <w:lang w:eastAsia="en-GB"/>
        </w:rPr>
        <w:t>2019</w:t>
      </w:r>
    </w:p>
    <w:p w:rsidRPr="000630B5" w:rsidR="00EA3C01" w:rsidP="000630B5" w:rsidRDefault="00EA3C01">
      <w:pPr>
        <w:pStyle w:val="ECHRPara"/>
        <w:ind w:firstLine="0"/>
        <w:jc w:val="center"/>
        <w:rPr>
          <w:lang w:eastAsia="en-GB"/>
        </w:rPr>
      </w:pPr>
    </w:p>
    <w:p w:rsidRPr="000630B5" w:rsidR="0042127A" w:rsidP="000630B5" w:rsidRDefault="0042127A">
      <w:pPr>
        <w:pStyle w:val="ECHRPara"/>
        <w:ind w:firstLine="0"/>
        <w:jc w:val="center"/>
        <w:rPr>
          <w:lang w:eastAsia="en-GB"/>
        </w:rPr>
      </w:pPr>
    </w:p>
    <w:p w:rsidRPr="000630B5" w:rsidR="0042127A" w:rsidP="000630B5" w:rsidRDefault="0042127A">
      <w:pPr>
        <w:pStyle w:val="ECHRPara"/>
        <w:ind w:firstLine="0"/>
        <w:jc w:val="center"/>
        <w:rPr>
          <w:lang w:eastAsia="en-GB"/>
        </w:rPr>
      </w:pPr>
    </w:p>
    <w:p w:rsidRPr="000630B5" w:rsidR="000630B5" w:rsidP="000630B5" w:rsidRDefault="000630B5">
      <w:pPr>
        <w:pStyle w:val="jucase0"/>
        <w:ind w:firstLine="0"/>
        <w:jc w:val="center"/>
        <w:rPr>
          <w:color w:val="FF0000"/>
          <w:sz w:val="28"/>
          <w:szCs w:val="28"/>
          <w:u w:val="single"/>
        </w:rPr>
      </w:pPr>
      <w:r w:rsidRPr="000630B5">
        <w:rPr>
          <w:color w:val="FF0000"/>
          <w:sz w:val="28"/>
          <w:szCs w:val="28"/>
          <w:u w:val="single"/>
        </w:rPr>
        <w:t>FINAL</w:t>
      </w:r>
    </w:p>
    <w:p w:rsidRPr="000630B5" w:rsidR="000630B5" w:rsidP="000630B5" w:rsidRDefault="000630B5">
      <w:pPr>
        <w:pStyle w:val="jupara"/>
        <w:tabs>
          <w:tab w:val="left" w:pos="4650"/>
        </w:tabs>
        <w:ind w:firstLine="0"/>
        <w:jc w:val="center"/>
        <w:rPr>
          <w:color w:val="FF0000"/>
          <w:sz w:val="28"/>
          <w:szCs w:val="28"/>
        </w:rPr>
      </w:pPr>
    </w:p>
    <w:p w:rsidRPr="000630B5" w:rsidR="000630B5" w:rsidP="000630B5" w:rsidRDefault="000630B5">
      <w:pPr>
        <w:pStyle w:val="jupara"/>
        <w:ind w:firstLine="0"/>
        <w:jc w:val="center"/>
        <w:rPr>
          <w:color w:val="FF0000"/>
          <w:sz w:val="28"/>
          <w:szCs w:val="28"/>
        </w:rPr>
      </w:pPr>
      <w:r w:rsidRPr="000630B5">
        <w:rPr>
          <w:color w:val="FF0000"/>
          <w:sz w:val="28"/>
          <w:szCs w:val="28"/>
        </w:rPr>
        <w:t>19/06/2019</w:t>
      </w:r>
    </w:p>
    <w:p w:rsidRPr="000630B5" w:rsidR="000630B5" w:rsidP="000630B5" w:rsidRDefault="000630B5">
      <w:pPr>
        <w:pStyle w:val="jupara"/>
        <w:ind w:firstLine="0"/>
        <w:jc w:val="center"/>
      </w:pPr>
    </w:p>
    <w:p w:rsidRPr="000630B5" w:rsidR="000630B5" w:rsidP="000630B5" w:rsidRDefault="000630B5">
      <w:pPr>
        <w:pStyle w:val="jupara"/>
        <w:ind w:firstLine="0"/>
        <w:jc w:val="center"/>
      </w:pPr>
    </w:p>
    <w:p w:rsidRPr="000630B5" w:rsidR="00200C81" w:rsidP="000630B5" w:rsidRDefault="000630B5">
      <w:pPr>
        <w:pStyle w:val="ECHRPara"/>
        <w:ind w:firstLine="0"/>
        <w:jc w:val="left"/>
        <w:rPr>
          <w:i/>
          <w:sz w:val="22"/>
          <w:lang w:eastAsia="en-GB"/>
        </w:rPr>
      </w:pPr>
      <w:r w:rsidRPr="000630B5">
        <w:rPr>
          <w:i/>
          <w:iCs/>
          <w:sz w:val="22"/>
        </w:rPr>
        <w:t>This judgment has become final under Article 44 § 2 of the Convention. It may be subject to editorial revision.</w:t>
      </w:r>
    </w:p>
    <w:p w:rsidRPr="000630B5" w:rsidR="00200C81" w:rsidP="000630B5" w:rsidRDefault="00200C81">
      <w:pPr>
        <w:pStyle w:val="ECHRPara"/>
        <w:ind w:firstLine="0"/>
        <w:jc w:val="left"/>
        <w:rPr>
          <w:lang w:eastAsia="en-GB"/>
        </w:rPr>
        <w:sectPr w:rsidRPr="000630B5" w:rsidR="00200C81" w:rsidSect="00EA3C0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6" w:h="16838" w:code="9"/>
          <w:pgMar w:top="2274" w:right="2274" w:bottom="2274" w:left="2274" w:header="1701" w:footer="720" w:gutter="0"/>
          <w:pgNumType w:start="1"/>
          <w:cols w:space="720"/>
          <w:titlePg/>
          <w:docGrid w:linePitch="326"/>
        </w:sectPr>
      </w:pPr>
    </w:p>
    <w:p w:rsidRPr="000630B5" w:rsidR="00014566" w:rsidP="000630B5" w:rsidRDefault="00014566">
      <w:pPr>
        <w:pStyle w:val="JuCase"/>
        <w:rPr>
          <w:bCs/>
        </w:rPr>
      </w:pPr>
      <w:r w:rsidRPr="000630B5">
        <w:t xml:space="preserve">In the case of </w:t>
      </w:r>
      <w:r w:rsidRPr="000630B5" w:rsidR="00C82108">
        <w:t>Høiness v. Norway</w:t>
      </w:r>
      <w:r w:rsidRPr="000630B5">
        <w:t>,</w:t>
      </w:r>
    </w:p>
    <w:p w:rsidRPr="000630B5" w:rsidR="00014566" w:rsidP="000630B5" w:rsidRDefault="00014566">
      <w:pPr>
        <w:pStyle w:val="ECHRPara"/>
      </w:pPr>
      <w:r w:rsidRPr="000630B5">
        <w:t>The European Court of Human Rights (</w:t>
      </w:r>
      <w:r w:rsidRPr="000630B5" w:rsidR="007220BB">
        <w:t>Second</w:t>
      </w:r>
      <w:r w:rsidRPr="000630B5" w:rsidR="00C82108">
        <w:t xml:space="preserve"> Section</w:t>
      </w:r>
      <w:r w:rsidRPr="000630B5">
        <w:t xml:space="preserve">), sitting as a </w:t>
      </w:r>
      <w:r w:rsidRPr="000630B5" w:rsidR="00C82108">
        <w:t>Chamber</w:t>
      </w:r>
      <w:r w:rsidRPr="000630B5">
        <w:t xml:space="preserve"> composed of:</w:t>
      </w:r>
    </w:p>
    <w:p w:rsidRPr="000630B5" w:rsidR="00014566" w:rsidP="000630B5" w:rsidRDefault="00EA3C01">
      <w:pPr>
        <w:pStyle w:val="ECHRDecisionBody"/>
      </w:pPr>
      <w:r w:rsidRPr="000630B5">
        <w:tab/>
        <w:t>Robert Spano,</w:t>
      </w:r>
      <w:r w:rsidRPr="000630B5">
        <w:rPr>
          <w:i/>
        </w:rPr>
        <w:t xml:space="preserve"> President,</w:t>
      </w:r>
      <w:r w:rsidRPr="000630B5">
        <w:rPr>
          <w:i/>
        </w:rPr>
        <w:br/>
      </w:r>
      <w:r w:rsidRPr="000630B5">
        <w:tab/>
        <w:t>Paul Lemmens,</w:t>
      </w:r>
      <w:r w:rsidRPr="000630B5">
        <w:rPr>
          <w:i/>
        </w:rPr>
        <w:br/>
      </w:r>
      <w:r w:rsidRPr="000630B5">
        <w:tab/>
        <w:t>Julia Laffranque,</w:t>
      </w:r>
      <w:r w:rsidRPr="000630B5">
        <w:rPr>
          <w:i/>
        </w:rPr>
        <w:br/>
      </w:r>
      <w:r w:rsidRPr="000630B5">
        <w:tab/>
        <w:t>Valeriu Griţco,</w:t>
      </w:r>
      <w:r w:rsidRPr="000630B5">
        <w:rPr>
          <w:i/>
        </w:rPr>
        <w:br/>
      </w:r>
      <w:r w:rsidRPr="000630B5">
        <w:tab/>
        <w:t>Stéphanie Mourou-Vikström,</w:t>
      </w:r>
      <w:r w:rsidRPr="000630B5">
        <w:rPr>
          <w:i/>
        </w:rPr>
        <w:br/>
      </w:r>
      <w:r w:rsidRPr="000630B5">
        <w:tab/>
        <w:t>Arnfinn Bårdsen,</w:t>
      </w:r>
      <w:r w:rsidRPr="000630B5">
        <w:rPr>
          <w:i/>
        </w:rPr>
        <w:br/>
      </w:r>
      <w:r w:rsidRPr="000630B5">
        <w:tab/>
        <w:t>Darian Pavli,</w:t>
      </w:r>
      <w:r w:rsidRPr="000630B5">
        <w:rPr>
          <w:i/>
        </w:rPr>
        <w:t xml:space="preserve"> judges,</w:t>
      </w:r>
      <w:r w:rsidRPr="000630B5" w:rsidR="00014566">
        <w:rPr>
          <w:szCs w:val="24"/>
        </w:rPr>
        <w:br/>
      </w:r>
      <w:r w:rsidRPr="000630B5" w:rsidR="00014566">
        <w:t xml:space="preserve">and </w:t>
      </w:r>
      <w:r w:rsidRPr="000630B5" w:rsidR="00FD342B">
        <w:t>Stanley Naismith</w:t>
      </w:r>
      <w:r w:rsidRPr="000630B5" w:rsidR="00014566">
        <w:t xml:space="preserve">, </w:t>
      </w:r>
      <w:r w:rsidRPr="000630B5" w:rsidR="00C82108">
        <w:rPr>
          <w:i/>
        </w:rPr>
        <w:t xml:space="preserve">Section </w:t>
      </w:r>
      <w:r w:rsidRPr="000630B5" w:rsidR="00C82108">
        <w:rPr>
          <w:i/>
          <w:iCs/>
        </w:rPr>
        <w:t>Registrar</w:t>
      </w:r>
      <w:r w:rsidRPr="000630B5" w:rsidR="00014566">
        <w:rPr>
          <w:i/>
        </w:rPr>
        <w:t>,</w:t>
      </w:r>
    </w:p>
    <w:p w:rsidRPr="000630B5" w:rsidR="00014566" w:rsidP="000630B5" w:rsidRDefault="00014566">
      <w:pPr>
        <w:pStyle w:val="ECHRPara"/>
      </w:pPr>
      <w:r w:rsidRPr="000630B5">
        <w:t xml:space="preserve">Having deliberated in private on </w:t>
      </w:r>
      <w:r w:rsidRPr="000630B5" w:rsidR="00EA3C01">
        <w:t>12 February 2019</w:t>
      </w:r>
      <w:r w:rsidRPr="000630B5">
        <w:t>,</w:t>
      </w:r>
    </w:p>
    <w:p w:rsidRPr="000630B5" w:rsidR="00014566" w:rsidP="000630B5" w:rsidRDefault="00014566">
      <w:pPr>
        <w:pStyle w:val="ECHRPara"/>
      </w:pPr>
      <w:r w:rsidRPr="000630B5">
        <w:t>Delivers the following judgment, which was adopted on that date:</w:t>
      </w:r>
    </w:p>
    <w:p w:rsidRPr="000630B5" w:rsidR="00014566" w:rsidP="000630B5" w:rsidRDefault="00014566">
      <w:pPr>
        <w:pStyle w:val="ECHRTitle1"/>
        <w:spacing w:before="600"/>
      </w:pPr>
      <w:r w:rsidRPr="000630B5">
        <w:t>PROCEDURE</w:t>
      </w:r>
    </w:p>
    <w:p w:rsidRPr="000630B5" w:rsidR="00CC7B0D"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1</w:t>
      </w:r>
      <w:r w:rsidRPr="000630B5">
        <w:fldChar w:fldCharType="end"/>
      </w:r>
      <w:r w:rsidRPr="000630B5" w:rsidR="00014566">
        <w:t xml:space="preserve">.  The case originated in </w:t>
      </w:r>
      <w:r w:rsidRPr="000630B5">
        <w:t>an application (no. 43624/14)</w:t>
      </w:r>
      <w:r w:rsidRPr="000630B5" w:rsidR="00014566">
        <w:t xml:space="preserve"> against </w:t>
      </w:r>
      <w:r w:rsidRPr="000630B5">
        <w:t>the Kingdom of Norway</w:t>
      </w:r>
      <w:r w:rsidRPr="000630B5" w:rsidR="00014566">
        <w:t xml:space="preserve"> lodged with the </w:t>
      </w:r>
      <w:r w:rsidRPr="000630B5">
        <w:t>Court under Article 34</w:t>
      </w:r>
      <w:r w:rsidRPr="000630B5" w:rsidR="00014566">
        <w:t xml:space="preserve"> of the Convention for the Protection of Human Rights and Fundamental Freedoms (“the Convention”) by </w:t>
      </w:r>
      <w:r w:rsidRPr="000630B5">
        <w:t>a Norwegian national, Ms Mona Høiness (“the applicant”), on 3 June 2014</w:t>
      </w:r>
      <w:r w:rsidRPr="000630B5" w:rsidR="00014566">
        <w:t>.</w:t>
      </w:r>
    </w:p>
    <w:p w:rsidRPr="000630B5" w:rsidR="00C82108"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2</w:t>
      </w:r>
      <w:r w:rsidRPr="000630B5">
        <w:fldChar w:fldCharType="end"/>
      </w:r>
      <w:r w:rsidRPr="000630B5" w:rsidR="00014566">
        <w:t>.  </w:t>
      </w:r>
      <w:r w:rsidRPr="000630B5">
        <w:t xml:space="preserve">The applicant was represented by Mr H. Helle, a lawyer practising in Oslo. </w:t>
      </w:r>
      <w:r w:rsidRPr="000630B5" w:rsidR="00014566">
        <w:t xml:space="preserve">The </w:t>
      </w:r>
      <w:r w:rsidRPr="000630B5">
        <w:t>Norwegian</w:t>
      </w:r>
      <w:r w:rsidRPr="000630B5" w:rsidR="00014566">
        <w:t xml:space="preserve"> Government (“the Government”) </w:t>
      </w:r>
      <w:r w:rsidRPr="000630B5" w:rsidR="00226985">
        <w:t>were represented by Mr M. Emberland of the Attorney General</w:t>
      </w:r>
      <w:r w:rsidRPr="000630B5" w:rsidR="000630B5">
        <w:t>’</w:t>
      </w:r>
      <w:r w:rsidRPr="000630B5" w:rsidR="00226985">
        <w:t>s Office (Civil Matters) as their Agent, assisted by Mr R. Nordeide, Attorney.</w:t>
      </w:r>
    </w:p>
    <w:p w:rsidRPr="000630B5" w:rsidR="00014566"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3</w:t>
      </w:r>
      <w:r w:rsidRPr="000630B5">
        <w:fldChar w:fldCharType="end"/>
      </w:r>
      <w:r w:rsidRPr="000630B5">
        <w:t xml:space="preserve">.  The applicant alleged </w:t>
      </w:r>
      <w:r w:rsidRPr="000630B5" w:rsidR="005D4F20">
        <w:t xml:space="preserve">that there had been a breach of her right to respect for </w:t>
      </w:r>
      <w:r w:rsidRPr="000630B5" w:rsidR="0068371E">
        <w:t xml:space="preserve">her </w:t>
      </w:r>
      <w:r w:rsidRPr="000630B5" w:rsidR="005D4F20">
        <w:t xml:space="preserve">private life as enshrined in Article 8 of the Convention, in so far as the domestic courts had not, at her request, </w:t>
      </w:r>
      <w:r w:rsidRPr="000630B5" w:rsidR="00905D91">
        <w:t>held</w:t>
      </w:r>
      <w:r w:rsidRPr="000630B5" w:rsidR="005D4F20">
        <w:t xml:space="preserve"> </w:t>
      </w:r>
      <w:r w:rsidRPr="000630B5" w:rsidR="00863625">
        <w:t xml:space="preserve">a media company and its editor </w:t>
      </w:r>
      <w:r w:rsidRPr="000630B5" w:rsidR="00BF2157">
        <w:t xml:space="preserve">liable </w:t>
      </w:r>
      <w:r w:rsidRPr="000630B5" w:rsidR="005D4F20">
        <w:t>to p</w:t>
      </w:r>
      <w:r w:rsidRPr="000630B5" w:rsidR="00226985">
        <w:t xml:space="preserve">ay compensation </w:t>
      </w:r>
      <w:r w:rsidRPr="000630B5" w:rsidR="00863625">
        <w:t>for</w:t>
      </w:r>
      <w:r w:rsidRPr="000630B5" w:rsidR="00226985">
        <w:t xml:space="preserve"> </w:t>
      </w:r>
      <w:r w:rsidRPr="000630B5" w:rsidR="00905D91">
        <w:t>failing to</w:t>
      </w:r>
      <w:r w:rsidRPr="000630B5" w:rsidR="00226985">
        <w:t xml:space="preserve"> sufficiently prevent or swiftly remove comments relating to </w:t>
      </w:r>
      <w:r w:rsidRPr="000630B5" w:rsidR="00BF1E92">
        <w:t>her</w:t>
      </w:r>
      <w:r w:rsidRPr="000630B5" w:rsidR="00226985">
        <w:t xml:space="preserve"> posted on an </w:t>
      </w:r>
      <w:r w:rsidRPr="000630B5" w:rsidR="00905D91">
        <w:t xml:space="preserve">online </w:t>
      </w:r>
      <w:r w:rsidRPr="000630B5" w:rsidR="00226985">
        <w:t>debate forum.</w:t>
      </w:r>
    </w:p>
    <w:p w:rsidRPr="000630B5" w:rsidR="00014566"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4</w:t>
      </w:r>
      <w:r w:rsidRPr="000630B5">
        <w:fldChar w:fldCharType="end"/>
      </w:r>
      <w:r w:rsidRPr="000630B5" w:rsidR="00014566">
        <w:t>.  </w:t>
      </w:r>
      <w:r w:rsidRPr="000630B5">
        <w:t>On 20 June 2017</w:t>
      </w:r>
      <w:r w:rsidRPr="000630B5" w:rsidR="00863625">
        <w:t xml:space="preserve"> notice of</w:t>
      </w:r>
      <w:r w:rsidRPr="000630B5" w:rsidR="00014566">
        <w:t xml:space="preserve"> the </w:t>
      </w:r>
      <w:r w:rsidRPr="000630B5">
        <w:rPr>
          <w:szCs w:val="24"/>
        </w:rPr>
        <w:t xml:space="preserve">application was </w:t>
      </w:r>
      <w:r w:rsidRPr="000630B5" w:rsidR="00863625">
        <w:rPr>
          <w:szCs w:val="24"/>
        </w:rPr>
        <w:t xml:space="preserve">given </w:t>
      </w:r>
      <w:r w:rsidRPr="000630B5">
        <w:rPr>
          <w:szCs w:val="24"/>
        </w:rPr>
        <w:t>to the Government</w:t>
      </w:r>
      <w:r w:rsidRPr="000630B5" w:rsidR="007509D5">
        <w:t>.</w:t>
      </w:r>
    </w:p>
    <w:p w:rsidRPr="000630B5" w:rsidR="00014566" w:rsidP="000630B5" w:rsidRDefault="00014566">
      <w:pPr>
        <w:pStyle w:val="ECHRTitle1"/>
        <w:spacing w:before="600"/>
      </w:pPr>
      <w:r w:rsidRPr="000630B5">
        <w:t>THE FACTS</w:t>
      </w:r>
    </w:p>
    <w:p w:rsidRPr="000630B5" w:rsidR="00014566" w:rsidP="000630B5" w:rsidRDefault="00014566">
      <w:pPr>
        <w:pStyle w:val="ECHRHeading1"/>
      </w:pPr>
      <w:r w:rsidRPr="000630B5">
        <w:t>I.  THE CIRCUMSTANCES OF THE CASE</w:t>
      </w:r>
    </w:p>
    <w:p w:rsidRPr="000630B5" w:rsidR="005166AF" w:rsidP="000630B5" w:rsidRDefault="001C253F">
      <w:pPr>
        <w:pStyle w:val="ECHRHeading2"/>
        <w:spacing w:before="300"/>
      </w:pPr>
      <w:r w:rsidRPr="000630B5">
        <w:t>A</w:t>
      </w:r>
      <w:r w:rsidRPr="000630B5" w:rsidR="005166AF">
        <w:t>.  Introduction</w:t>
      </w:r>
    </w:p>
    <w:p w:rsidRPr="000630B5" w:rsidR="00CC7B0D"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5</w:t>
      </w:r>
      <w:r w:rsidRPr="000630B5">
        <w:fldChar w:fldCharType="end"/>
      </w:r>
      <w:r w:rsidRPr="000630B5" w:rsidR="00014566">
        <w:t xml:space="preserve">.  The </w:t>
      </w:r>
      <w:r w:rsidRPr="000630B5">
        <w:t>applicant was born in 1958 and lives</w:t>
      </w:r>
      <w:r w:rsidRPr="000630B5" w:rsidR="00014566">
        <w:t xml:space="preserve"> in </w:t>
      </w:r>
      <w:r w:rsidRPr="000630B5">
        <w:t>Oslo</w:t>
      </w:r>
      <w:r w:rsidRPr="000630B5" w:rsidR="00014566">
        <w:t>.</w:t>
      </w:r>
      <w:r w:rsidRPr="000630B5" w:rsidR="00F40059">
        <w:t xml:space="preserve"> She is a</w:t>
      </w:r>
      <w:r w:rsidRPr="000630B5">
        <w:t xml:space="preserve"> </w:t>
      </w:r>
      <w:r w:rsidRPr="000630B5" w:rsidR="00F40059">
        <w:t xml:space="preserve">well-known lawyer </w:t>
      </w:r>
      <w:r w:rsidRPr="000630B5" w:rsidR="00863625">
        <w:t>who</w:t>
      </w:r>
      <w:r w:rsidRPr="000630B5">
        <w:t xml:space="preserve"> mainly</w:t>
      </w:r>
      <w:r w:rsidRPr="000630B5" w:rsidR="00863625">
        <w:t xml:space="preserve"> deals with </w:t>
      </w:r>
      <w:r w:rsidRPr="000630B5">
        <w:t xml:space="preserve">criminal and child custody cases. She is married to a businessman and </w:t>
      </w:r>
      <w:r w:rsidRPr="000630B5" w:rsidR="00863625">
        <w:t xml:space="preserve">was </w:t>
      </w:r>
      <w:r w:rsidRPr="000630B5">
        <w:t>formerly a talk show host and active participant in public debate.</w:t>
      </w:r>
    </w:p>
    <w:p w:rsidRPr="000630B5" w:rsidR="00C82108"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6</w:t>
      </w:r>
      <w:r w:rsidRPr="000630B5">
        <w:fldChar w:fldCharType="end"/>
      </w:r>
      <w:r w:rsidRPr="000630B5" w:rsidR="009E52A6">
        <w:t>.  In August and September 2010</w:t>
      </w:r>
      <w:r w:rsidRPr="000630B5">
        <w:t xml:space="preserve"> the applicant lodged two complaints with the Press Complaints Commission (</w:t>
      </w:r>
      <w:r w:rsidRPr="000630B5">
        <w:rPr>
          <w:i/>
        </w:rPr>
        <w:t>Pressens Faglige Utvalg</w:t>
      </w:r>
      <w:r w:rsidRPr="000630B5">
        <w:t>) against two publications owned and controlled by Mr Trygve Hegnar: the</w:t>
      </w:r>
      <w:r w:rsidRPr="000630B5" w:rsidR="00863625">
        <w:t xml:space="preserve"> weekly and daily</w:t>
      </w:r>
      <w:r w:rsidRPr="000630B5">
        <w:t xml:space="preserve"> business </w:t>
      </w:r>
      <w:r w:rsidRPr="000630B5" w:rsidR="00863625">
        <w:t xml:space="preserve">newspapers </w:t>
      </w:r>
      <w:r w:rsidRPr="000630B5">
        <w:rPr>
          <w:i/>
        </w:rPr>
        <w:t>Kapital</w:t>
      </w:r>
      <w:r w:rsidRPr="000630B5">
        <w:t xml:space="preserve"> and </w:t>
      </w:r>
      <w:r w:rsidRPr="000630B5">
        <w:rPr>
          <w:i/>
        </w:rPr>
        <w:t>Finansavisen</w:t>
      </w:r>
      <w:r w:rsidRPr="000630B5">
        <w:t xml:space="preserve">. Mr Hegnar also owned and controlled the internet portal </w:t>
      </w:r>
      <w:r w:rsidRPr="000630B5">
        <w:rPr>
          <w:i/>
        </w:rPr>
        <w:t>Hegnar Online</w:t>
      </w:r>
      <w:r w:rsidRPr="000630B5" w:rsidR="00863625">
        <w:t xml:space="preserve">, which </w:t>
      </w:r>
      <w:r w:rsidRPr="000630B5" w:rsidR="00F343AD">
        <w:t>focused</w:t>
      </w:r>
      <w:r w:rsidRPr="000630B5">
        <w:t xml:space="preserve"> mainly on business and financial news.</w:t>
      </w:r>
    </w:p>
    <w:p w:rsidRPr="000630B5" w:rsidR="00C82108"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7</w:t>
      </w:r>
      <w:r w:rsidRPr="000630B5">
        <w:fldChar w:fldCharType="end"/>
      </w:r>
      <w:r w:rsidRPr="000630B5">
        <w:t xml:space="preserve">.  All three publications had, </w:t>
      </w:r>
      <w:r w:rsidRPr="000630B5" w:rsidR="00F343AD">
        <w:t>from</w:t>
      </w:r>
      <w:r w:rsidRPr="000630B5">
        <w:t xml:space="preserve"> late summer 2010, published articles concerning the applicant</w:t>
      </w:r>
      <w:r w:rsidRPr="000630B5" w:rsidR="000630B5">
        <w:t>’</w:t>
      </w:r>
      <w:r w:rsidRPr="000630B5">
        <w:t xml:space="preserve">s role and relationship </w:t>
      </w:r>
      <w:r w:rsidRPr="000630B5" w:rsidR="00863625">
        <w:t>with</w:t>
      </w:r>
      <w:r w:rsidRPr="000630B5">
        <w:t xml:space="preserve"> a wealthy, elderly widow</w:t>
      </w:r>
      <w:r w:rsidRPr="000630B5" w:rsidR="00863625">
        <w:t xml:space="preserve"> from whom she would inherit</w:t>
      </w:r>
      <w:r w:rsidRPr="000630B5">
        <w:t xml:space="preserve">. The publications contained direct or indirect suggestions that the applicant had exploited her emotionally or financially. After the widow passed away in 2011, her relatives instituted proceedings against the applicant, challenging the validity of </w:t>
      </w:r>
      <w:r w:rsidRPr="000630B5" w:rsidR="00805C3E">
        <w:t>her</w:t>
      </w:r>
      <w:r w:rsidRPr="000630B5">
        <w:t xml:space="preserve"> will. The inheritance case, </w:t>
      </w:r>
      <w:r w:rsidRPr="000630B5" w:rsidR="00863625">
        <w:t xml:space="preserve">which </w:t>
      </w:r>
      <w:r w:rsidRPr="000630B5">
        <w:t xml:space="preserve">the applicant </w:t>
      </w:r>
      <w:r w:rsidRPr="000630B5" w:rsidR="00385C86">
        <w:t>won</w:t>
      </w:r>
      <w:r w:rsidRPr="000630B5">
        <w:t xml:space="preserve"> both </w:t>
      </w:r>
      <w:r w:rsidRPr="000630B5" w:rsidR="00863625">
        <w:t xml:space="preserve">at </w:t>
      </w:r>
      <w:r w:rsidRPr="000630B5">
        <w:t>first and second instance (in 2012 and 2014 respectively), was covered extensively in the above publications.</w:t>
      </w:r>
    </w:p>
    <w:p w:rsidRPr="000630B5" w:rsidR="00C82108"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8</w:t>
      </w:r>
      <w:r w:rsidRPr="000630B5">
        <w:fldChar w:fldCharType="end"/>
      </w:r>
      <w:r w:rsidRPr="000630B5">
        <w:t xml:space="preserve">.  The </w:t>
      </w:r>
      <w:r w:rsidRPr="000630B5">
        <w:rPr>
          <w:i/>
        </w:rPr>
        <w:t>Hegnar Online</w:t>
      </w:r>
      <w:r w:rsidRPr="000630B5">
        <w:t xml:space="preserve"> website featured a forum</w:t>
      </w:r>
      <w:r w:rsidRPr="000630B5" w:rsidR="001B6F16">
        <w:t xml:space="preserve"> – at a separate </w:t>
      </w:r>
      <w:r w:rsidRPr="000630B5" w:rsidR="00BF1E92">
        <w:t xml:space="preserve">web </w:t>
      </w:r>
      <w:r w:rsidRPr="000630B5" w:rsidR="001B6F16">
        <w:t>address,</w:t>
      </w:r>
      <w:r w:rsidRPr="000630B5">
        <w:t xml:space="preserve"> </w:t>
      </w:r>
      <w:r w:rsidRPr="000630B5" w:rsidR="001B6F16">
        <w:t xml:space="preserve">but </w:t>
      </w:r>
      <w:r w:rsidRPr="000630B5" w:rsidR="009E52A6">
        <w:t xml:space="preserve">to which </w:t>
      </w:r>
      <w:r w:rsidRPr="000630B5" w:rsidR="001B6F16">
        <w:t xml:space="preserve">access was given via the online newspaper – </w:t>
      </w:r>
      <w:r w:rsidRPr="000630B5">
        <w:t xml:space="preserve">where readers could start debates and submit comments. </w:t>
      </w:r>
      <w:r w:rsidRPr="000630B5" w:rsidR="001B6F16">
        <w:t>There was no editorial content in the forum; all content was user</w:t>
      </w:r>
      <w:r w:rsidRPr="000630B5" w:rsidR="009E52A6">
        <w:t>-</w:t>
      </w:r>
      <w:r w:rsidRPr="000630B5" w:rsidR="001B6F16">
        <w:t xml:space="preserve">generated. It was possible for users to comment anonymously and there was no requirement </w:t>
      </w:r>
      <w:r w:rsidRPr="000630B5" w:rsidR="003862B1">
        <w:t>to</w:t>
      </w:r>
      <w:r w:rsidRPr="000630B5" w:rsidR="001B6F16">
        <w:t xml:space="preserve"> </w:t>
      </w:r>
      <w:r w:rsidRPr="000630B5" w:rsidR="003862B1">
        <w:t>register</w:t>
      </w:r>
      <w:r w:rsidRPr="000630B5" w:rsidR="001B6F16">
        <w:t xml:space="preserve">. </w:t>
      </w:r>
      <w:r w:rsidRPr="000630B5">
        <w:t xml:space="preserve">More than 200,000 comments were posted every month and the debate forum was among the biggest of its kind in Norway. The forum was divided into many </w:t>
      </w:r>
      <w:r w:rsidRPr="000630B5" w:rsidR="00EF1CF5">
        <w:t>subforums</w:t>
      </w:r>
      <w:r w:rsidRPr="000630B5">
        <w:t xml:space="preserve">, </w:t>
      </w:r>
      <w:r w:rsidRPr="000630B5" w:rsidR="00056BA3">
        <w:t xml:space="preserve">with topic headings </w:t>
      </w:r>
      <w:r w:rsidRPr="000630B5">
        <w:t>such as “Shipping”, “IT”, “Finance”, “Property”, “Media” and “Theme of the day” (</w:t>
      </w:r>
      <w:r w:rsidRPr="000630B5">
        <w:rPr>
          <w:i/>
        </w:rPr>
        <w:t>“Dagens tema”</w:t>
      </w:r>
      <w:r w:rsidRPr="000630B5">
        <w:t>).</w:t>
      </w:r>
    </w:p>
    <w:p w:rsidRPr="000630B5" w:rsidR="00CC7B0D" w:rsidP="000630B5" w:rsidRDefault="00C82108">
      <w:pPr>
        <w:pStyle w:val="ECHRPara"/>
        <w:rPr>
          <w:lang w:val="nb-NO"/>
        </w:rPr>
      </w:pPr>
      <w:r w:rsidRPr="000630B5">
        <w:fldChar w:fldCharType="begin"/>
      </w:r>
      <w:r w:rsidRPr="000630B5">
        <w:instrText xml:space="preserve"> SEQ level0 \*arabic </w:instrText>
      </w:r>
      <w:r w:rsidRPr="000630B5">
        <w:fldChar w:fldCharType="separate"/>
      </w:r>
      <w:r w:rsidRPr="000630B5" w:rsidR="000630B5">
        <w:rPr>
          <w:noProof/>
        </w:rPr>
        <w:t>9</w:t>
      </w:r>
      <w:r w:rsidRPr="000630B5">
        <w:fldChar w:fldCharType="end"/>
      </w:r>
      <w:r w:rsidRPr="000630B5">
        <w:t>.  </w:t>
      </w:r>
      <w:r w:rsidRPr="000630B5" w:rsidR="001B6F16">
        <w:t>On 5 November 2010 a</w:t>
      </w:r>
      <w:r w:rsidRPr="000630B5">
        <w:t xml:space="preserve"> forum thread was started </w:t>
      </w:r>
      <w:r w:rsidRPr="000630B5" w:rsidR="00B815D4">
        <w:t xml:space="preserve">in the subforum </w:t>
      </w:r>
      <w:r w:rsidRPr="000630B5" w:rsidR="00F4794E">
        <w:t>“Theme of the day”</w:t>
      </w:r>
      <w:r w:rsidRPr="000630B5" w:rsidR="00B815D4">
        <w:t xml:space="preserve"> </w:t>
      </w:r>
      <w:r w:rsidRPr="000630B5">
        <w:t xml:space="preserve">under the heading </w:t>
      </w:r>
      <w:r w:rsidRPr="000630B5" w:rsidR="001B6F16">
        <w:t>“</w:t>
      </w:r>
      <w:r w:rsidRPr="000630B5">
        <w:t>Mona Høiness – the case is growing, according to Kapital” (</w:t>
      </w:r>
      <w:r w:rsidRPr="000630B5">
        <w:rPr>
          <w:i/>
        </w:rPr>
        <w:t>“Mona Høiness – saken vokser</w:t>
      </w:r>
      <w:r w:rsidRPr="000630B5">
        <w:t xml:space="preserve">, </w:t>
      </w:r>
      <w:r w:rsidRPr="000630B5">
        <w:rPr>
          <w:i/>
        </w:rPr>
        <w:t>sier Kapital”</w:t>
      </w:r>
      <w:r w:rsidRPr="000630B5" w:rsidR="00F66B0F">
        <w:t>)</w:t>
      </w:r>
      <w:r w:rsidRPr="000630B5" w:rsidR="00BF2157">
        <w:t>, where</w:t>
      </w:r>
      <w:r w:rsidRPr="000630B5" w:rsidR="00F66B0F">
        <w:t xml:space="preserve"> the original poster wrote only “What is the status?” (</w:t>
      </w:r>
      <w:r w:rsidRPr="000630B5" w:rsidR="00F66B0F">
        <w:rPr>
          <w:i/>
        </w:rPr>
        <w:t>“Hva er status?</w:t>
      </w:r>
      <w:r w:rsidRPr="000630B5" w:rsidR="00F66B0F">
        <w:t>”). The next comment, posted the same day, read “Sexy lady. What is the case about ???” (</w:t>
      </w:r>
      <w:r w:rsidRPr="000630B5" w:rsidR="00F66B0F">
        <w:rPr>
          <w:i/>
        </w:rPr>
        <w:t>“Sexy dame. Hva gjelder saken ???”</w:t>
      </w:r>
      <w:r w:rsidRPr="000630B5" w:rsidR="00F66B0F">
        <w:t xml:space="preserve">), </w:t>
      </w:r>
      <w:r w:rsidRPr="000630B5" w:rsidR="00B2372A">
        <w:t>to which</w:t>
      </w:r>
      <w:r w:rsidRPr="000630B5" w:rsidR="00F66B0F">
        <w:t xml:space="preserve"> </w:t>
      </w:r>
      <w:r w:rsidRPr="000630B5" w:rsidR="006A0194">
        <w:t>another commenter responded “Money.”</w:t>
      </w:r>
      <w:r w:rsidRPr="000630B5" w:rsidR="00435D5A">
        <w:t xml:space="preserve"> </w:t>
      </w:r>
      <w:r w:rsidRPr="000630B5" w:rsidR="003862B1">
        <w:t>At 12.32 p.m. t</w:t>
      </w:r>
      <w:r w:rsidRPr="000630B5" w:rsidR="006A0194">
        <w:t>he following day</w:t>
      </w:r>
      <w:r w:rsidRPr="000630B5">
        <w:t xml:space="preserve"> an</w:t>
      </w:r>
      <w:r w:rsidRPr="000630B5" w:rsidR="006A0194">
        <w:t>other</w:t>
      </w:r>
      <w:r w:rsidRPr="000630B5">
        <w:t xml:space="preserve"> comment </w:t>
      </w:r>
      <w:r w:rsidRPr="000630B5" w:rsidR="00B2372A">
        <w:t xml:space="preserve">was made, </w:t>
      </w:r>
      <w:r w:rsidRPr="000630B5">
        <w:t xml:space="preserve">in which </w:t>
      </w:r>
      <w:r w:rsidRPr="000630B5" w:rsidR="00B2372A">
        <w:t xml:space="preserve">the </w:t>
      </w:r>
      <w:r w:rsidRPr="000630B5" w:rsidR="00BF1E92">
        <w:t xml:space="preserve">poster </w:t>
      </w:r>
      <w:r w:rsidRPr="000630B5">
        <w:t xml:space="preserve">claimed to “know someone who knows someone” who had been </w:t>
      </w:r>
      <w:r w:rsidRPr="000630B5" w:rsidR="00CC7B0D">
        <w:t>“</w:t>
      </w:r>
      <w:r w:rsidRPr="000630B5">
        <w:t xml:space="preserve">lucky to have </w:t>
      </w:r>
      <w:r w:rsidRPr="000630B5" w:rsidR="00CC7B0D">
        <w:t>shagged”</w:t>
      </w:r>
      <w:r w:rsidRPr="000630B5">
        <w:t xml:space="preserve"> the applicant</w:t>
      </w:r>
      <w:r w:rsidRPr="000630B5" w:rsidR="00CC7B0D">
        <w:t xml:space="preserve"> (</w:t>
      </w:r>
      <w:r w:rsidRPr="000630B5" w:rsidR="00CC7B0D">
        <w:rPr>
          <w:i/>
        </w:rPr>
        <w:t>“</w:t>
      </w:r>
      <w:r w:rsidRPr="000630B5" w:rsidR="00CC7B0D">
        <w:rPr>
          <w:i/>
          <w:lang w:val="en-US"/>
        </w:rPr>
        <w:t xml:space="preserve">Sexy hun da! </w:t>
      </w:r>
      <w:r w:rsidRPr="000630B5" w:rsidR="00CC7B0D">
        <w:rPr>
          <w:i/>
          <w:lang w:val="nb-NO"/>
        </w:rPr>
        <w:t>Kjenner en som kjenner en som knulla henne. Heldiggris</w:t>
      </w:r>
      <w:r w:rsidRPr="000630B5" w:rsidR="003862B1">
        <w:rPr>
          <w:i/>
          <w:lang w:val="nb-NO"/>
        </w:rPr>
        <w:t>”</w:t>
      </w:r>
      <w:r w:rsidRPr="000630B5" w:rsidR="003862B1">
        <w:rPr>
          <w:lang w:val="nb-NO"/>
        </w:rPr>
        <w:t xml:space="preserve"> </w:t>
      </w:r>
      <w:r w:rsidRPr="000630B5" w:rsidR="003862B1">
        <w:rPr>
          <w:rFonts w:cstheme="minorHAnsi"/>
          <w:lang w:val="nb-NO"/>
        </w:rPr>
        <w:t>–</w:t>
      </w:r>
      <w:r w:rsidRPr="000630B5" w:rsidR="003862B1">
        <w:rPr>
          <w:lang w:val="nb-NO"/>
        </w:rPr>
        <w:t xml:space="preserve"> </w:t>
      </w:r>
      <w:r w:rsidRPr="000630B5" w:rsidR="00F343AD">
        <w:rPr>
          <w:lang w:val="nb-NO"/>
        </w:rPr>
        <w:t>hereinafter “comment 1”)</w:t>
      </w:r>
      <w:r w:rsidRPr="000630B5" w:rsidR="0024500C">
        <w:rPr>
          <w:lang w:val="nb-NO"/>
        </w:rPr>
        <w:t>.</w:t>
      </w:r>
    </w:p>
    <w:p w:rsidRPr="000630B5" w:rsidR="00EA3C01" w:rsidP="000630B5" w:rsidRDefault="006A0194">
      <w:pPr>
        <w:pStyle w:val="ECHRPara"/>
        <w:rPr>
          <w:lang w:val="nb-NO"/>
        </w:rPr>
      </w:pPr>
      <w:r w:rsidRPr="000630B5">
        <w:t xml:space="preserve">The thread continued the same day with </w:t>
      </w:r>
      <w:r w:rsidRPr="000630B5" w:rsidR="00910ABA">
        <w:t>a</w:t>
      </w:r>
      <w:r w:rsidRPr="000630B5">
        <w:t xml:space="preserve"> </w:t>
      </w:r>
      <w:r w:rsidRPr="000630B5" w:rsidR="00543EF1">
        <w:t xml:space="preserve">commenter </w:t>
      </w:r>
      <w:r w:rsidRPr="000630B5" w:rsidR="00910ABA">
        <w:t>writing</w:t>
      </w:r>
      <w:r w:rsidRPr="000630B5">
        <w:t>: “status quo” and “ab absurdo”</w:t>
      </w:r>
      <w:r w:rsidRPr="000630B5" w:rsidR="003862B1">
        <w:t>. T</w:t>
      </w:r>
      <w:r w:rsidRPr="000630B5" w:rsidR="00F343AD">
        <w:t>he following</w:t>
      </w:r>
      <w:r w:rsidRPr="000630B5">
        <w:t xml:space="preserve"> </w:t>
      </w:r>
      <w:r w:rsidRPr="000630B5" w:rsidR="00910ABA">
        <w:t>comment</w:t>
      </w:r>
      <w:r w:rsidRPr="000630B5" w:rsidR="00F343AD">
        <w:t xml:space="preserve"> was made the next day: </w:t>
      </w:r>
      <w:r w:rsidRPr="000630B5">
        <w:t>“I read about this case briefly several weeks ago. I now see that Kapital</w:t>
      </w:r>
      <w:r w:rsidRPr="000630B5">
        <w:rPr>
          <w:i/>
        </w:rPr>
        <w:t xml:space="preserve"> </w:t>
      </w:r>
      <w:r w:rsidRPr="000630B5" w:rsidR="00435D5A">
        <w:t xml:space="preserve">gives it the front page. The conflict relates to an apartment at Frogner + wealthy old lady </w:t>
      </w:r>
      <w:r w:rsidRPr="000630B5" w:rsidR="00BF1E92">
        <w:t xml:space="preserve">with </w:t>
      </w:r>
      <w:r w:rsidRPr="000630B5" w:rsidR="00435D5A">
        <w:t>whom Høiness has developed a mother</w:t>
      </w:r>
      <w:r w:rsidRPr="000630B5" w:rsidR="003862B1">
        <w:t>-</w:t>
      </w:r>
      <w:r w:rsidRPr="000630B5" w:rsidR="00435D5A">
        <w:t>daughter</w:t>
      </w:r>
      <w:r w:rsidRPr="000630B5" w:rsidR="003862B1">
        <w:t xml:space="preserve"> </w:t>
      </w:r>
      <w:r w:rsidRPr="000630B5" w:rsidR="00435D5A">
        <w:t xml:space="preserve">relationship over many years.” </w:t>
      </w:r>
      <w:r w:rsidRPr="000630B5" w:rsidR="00435D5A">
        <w:rPr>
          <w:lang w:val="nb-NO"/>
        </w:rPr>
        <w:t>(</w:t>
      </w:r>
      <w:r w:rsidRPr="000630B5" w:rsidR="00435D5A">
        <w:rPr>
          <w:i/>
          <w:lang w:val="nb-NO"/>
        </w:rPr>
        <w:t>“Leste om denne saken såvidt, for flere uker siden. Ser nå at Kapital gir den forsiden. Striden gjelder en leilighet på Frogner + velstående eldre dame som Høiness har utviklet et mor/datter-forhold til over mange år.”</w:t>
      </w:r>
      <w:r w:rsidRPr="000630B5" w:rsidR="00435D5A">
        <w:rPr>
          <w:lang w:val="nb-NO"/>
        </w:rPr>
        <w:t>)</w:t>
      </w:r>
    </w:p>
    <w:p w:rsidRPr="000630B5" w:rsidR="00435D5A" w:rsidP="000630B5" w:rsidRDefault="00435D5A">
      <w:pPr>
        <w:pStyle w:val="ECHRPara"/>
      </w:pPr>
      <w:r w:rsidRPr="000630B5">
        <w:t>The next comment read: “Is it Kapital</w:t>
      </w:r>
      <w:r w:rsidRPr="000630B5" w:rsidR="000630B5">
        <w:t>’</w:t>
      </w:r>
      <w:r w:rsidRPr="000630B5">
        <w:t>s Case [(</w:t>
      </w:r>
      <w:r w:rsidRPr="000630B5" w:rsidR="00056BA3">
        <w:rPr>
          <w:i/>
        </w:rPr>
        <w:t>“</w:t>
      </w:r>
      <w:r w:rsidRPr="000630B5">
        <w:rPr>
          <w:i/>
        </w:rPr>
        <w:t>Saken til Kapital</w:t>
      </w:r>
      <w:r w:rsidRPr="000630B5" w:rsidR="00056BA3">
        <w:rPr>
          <w:i/>
        </w:rPr>
        <w:t>”</w:t>
      </w:r>
      <w:r w:rsidRPr="000630B5">
        <w:t xml:space="preserve">)] which is growing?”, to which another </w:t>
      </w:r>
      <w:r w:rsidRPr="000630B5" w:rsidR="00543EF1">
        <w:t xml:space="preserve">commenter </w:t>
      </w:r>
      <w:r w:rsidRPr="000630B5">
        <w:t>responded with the wordplay: “It is Hegnar</w:t>
      </w:r>
      <w:r w:rsidRPr="000630B5" w:rsidR="000630B5">
        <w:t>’</w:t>
      </w:r>
      <w:r w:rsidRPr="000630B5">
        <w:t>s thing [(</w:t>
      </w:r>
      <w:r w:rsidRPr="000630B5" w:rsidR="00056BA3">
        <w:rPr>
          <w:i/>
        </w:rPr>
        <w:t>“</w:t>
      </w:r>
      <w:r w:rsidRPr="000630B5">
        <w:rPr>
          <w:i/>
        </w:rPr>
        <w:t>saken til Hegnar</w:t>
      </w:r>
      <w:r w:rsidRPr="000630B5" w:rsidR="00056BA3">
        <w:rPr>
          <w:i/>
        </w:rPr>
        <w:t>”</w:t>
      </w:r>
      <w:r w:rsidRPr="000630B5">
        <w:t xml:space="preserve">)] which is growing.” </w:t>
      </w:r>
      <w:r w:rsidRPr="000630B5" w:rsidR="003862B1">
        <w:t xml:space="preserve">This was </w:t>
      </w:r>
      <w:r w:rsidRPr="000630B5" w:rsidR="005F7E49">
        <w:t>followed</w:t>
      </w:r>
      <w:r w:rsidRPr="000630B5" w:rsidR="003862B1">
        <w:t xml:space="preserve"> by</w:t>
      </w:r>
      <w:r w:rsidRPr="000630B5" w:rsidR="005F7E49">
        <w:t xml:space="preserve"> the comment “If you are looking for pretty ladies, look at the thread </w:t>
      </w:r>
      <w:r w:rsidRPr="000630B5" w:rsidR="000630B5">
        <w:t>‘</w:t>
      </w:r>
      <w:r w:rsidRPr="000630B5" w:rsidR="005F7E49">
        <w:t>Pride of the nation</w:t>
      </w:r>
      <w:r w:rsidRPr="000630B5" w:rsidR="000630B5">
        <w:t>’</w:t>
      </w:r>
      <w:r w:rsidRPr="000630B5" w:rsidR="005F7E49">
        <w:t>”</w:t>
      </w:r>
      <w:r w:rsidRPr="000630B5" w:rsidR="00543EF1">
        <w:t>,</w:t>
      </w:r>
      <w:r w:rsidRPr="000630B5" w:rsidR="005F7E49">
        <w:t xml:space="preserve"> to which another poster added: “And that about the Marilyn-revelation”.</w:t>
      </w:r>
    </w:p>
    <w:p w:rsidRPr="000630B5" w:rsidR="00C82108" w:rsidP="000630B5" w:rsidRDefault="00056BA3">
      <w:pPr>
        <w:pStyle w:val="ECHRPara"/>
      </w:pPr>
      <w:r w:rsidRPr="000630B5">
        <w:t>T</w:t>
      </w:r>
      <w:r w:rsidRPr="000630B5" w:rsidR="005F7E49">
        <w:t xml:space="preserve">he next day, </w:t>
      </w:r>
      <w:r w:rsidRPr="000630B5" w:rsidR="00EF1CF5">
        <w:t xml:space="preserve">on </w:t>
      </w:r>
      <w:r w:rsidRPr="000630B5" w:rsidR="005F7E49">
        <w:t>8 November 2010, a new comment was made: “With 100 million at stake it is clear that one would bend the ethical rules a little” (</w:t>
      </w:r>
      <w:r w:rsidRPr="000630B5" w:rsidR="005F7E49">
        <w:rPr>
          <w:i/>
        </w:rPr>
        <w:t xml:space="preserve">“Med 100 mill </w:t>
      </w:r>
      <w:r w:rsidRPr="000630B5" w:rsidR="005F7E49">
        <w:rPr>
          <w:i/>
          <w:lang w:val="en-US"/>
        </w:rPr>
        <w:t>i potten er det klart du tøyer de etiske reglene litt</w:t>
      </w:r>
      <w:r w:rsidRPr="000630B5" w:rsidR="005F7E49">
        <w:rPr>
          <w:i/>
        </w:rPr>
        <w:t>”</w:t>
      </w:r>
      <w:r w:rsidRPr="000630B5" w:rsidR="005F7E49">
        <w:t xml:space="preserve">), before another poster asked: “Has she become pregnant, or is she only </w:t>
      </w:r>
      <w:r w:rsidRPr="000630B5" w:rsidR="00A516C2">
        <w:t xml:space="preserve">gaining </w:t>
      </w:r>
      <w:r w:rsidRPr="000630B5" w:rsidR="005F7E49">
        <w:t>weight?”, and yet another</w:t>
      </w:r>
      <w:r w:rsidRPr="000630B5" w:rsidR="003862B1">
        <w:t xml:space="preserve"> poster</w:t>
      </w:r>
      <w:r w:rsidRPr="000630B5" w:rsidR="005F7E49">
        <w:t xml:space="preserve"> followed </w:t>
      </w:r>
      <w:r w:rsidRPr="000630B5" w:rsidR="003862B1">
        <w:t>with</w:t>
      </w:r>
      <w:r w:rsidRPr="000630B5" w:rsidR="005F7E49">
        <w:t xml:space="preserve"> the above wordplay: “Is Hegnar</w:t>
      </w:r>
      <w:r w:rsidRPr="000630B5" w:rsidR="000630B5">
        <w:t>’</w:t>
      </w:r>
      <w:r w:rsidRPr="000630B5" w:rsidR="005F7E49">
        <w:t xml:space="preserve">s stake </w:t>
      </w:r>
      <w:r w:rsidRPr="000630B5" w:rsidR="001D0ABE">
        <w:t>[</w:t>
      </w:r>
      <w:r w:rsidRPr="000630B5" w:rsidR="005F7E49">
        <w:t>(</w:t>
      </w:r>
      <w:r w:rsidRPr="000630B5" w:rsidR="00F343AD">
        <w:rPr>
          <w:i/>
        </w:rPr>
        <w:t>“</w:t>
      </w:r>
      <w:r w:rsidRPr="000630B5" w:rsidR="005F7E49">
        <w:rPr>
          <w:i/>
        </w:rPr>
        <w:t>staken til Hegnar</w:t>
      </w:r>
      <w:r w:rsidRPr="000630B5" w:rsidR="00F343AD">
        <w:rPr>
          <w:i/>
        </w:rPr>
        <w:t>”</w:t>
      </w:r>
      <w:r w:rsidRPr="000630B5" w:rsidR="005F7E49">
        <w:t>)</w:t>
      </w:r>
      <w:r w:rsidRPr="000630B5" w:rsidR="001D0ABE">
        <w:t>]</w:t>
      </w:r>
      <w:r w:rsidRPr="000630B5" w:rsidR="005F7E49">
        <w:t xml:space="preserve"> still growing?”. At 5.55 p.m. </w:t>
      </w:r>
      <w:r w:rsidRPr="000630B5" w:rsidR="00C82108">
        <w:t xml:space="preserve">another </w:t>
      </w:r>
      <w:r w:rsidRPr="000630B5" w:rsidR="00543EF1">
        <w:t xml:space="preserve">commenter </w:t>
      </w:r>
      <w:r w:rsidRPr="000630B5" w:rsidR="00435D5A">
        <w:t>wrote</w:t>
      </w:r>
      <w:r w:rsidRPr="000630B5" w:rsidR="005F7E49">
        <w:t>:</w:t>
      </w:r>
      <w:r w:rsidRPr="000630B5" w:rsidR="00CC7B0D">
        <w:t xml:space="preserve"> “If I were to s–– her, it would have to be blindfolded. </w:t>
      </w:r>
      <w:r w:rsidRPr="000630B5" w:rsidR="00CC7B0D">
        <w:rPr>
          <w:lang w:val="nb-NO"/>
        </w:rPr>
        <w:t xml:space="preserve">The woman is </w:t>
      </w:r>
      <w:r w:rsidRPr="000630B5" w:rsidR="009F2EAD">
        <w:rPr>
          <w:lang w:val="nb-NO"/>
        </w:rPr>
        <w:t>dirt-u</w:t>
      </w:r>
      <w:r w:rsidRPr="000630B5" w:rsidR="00CC7B0D">
        <w:rPr>
          <w:lang w:val="nb-NO"/>
        </w:rPr>
        <w:t>gly</w:t>
      </w:r>
      <w:r w:rsidRPr="000630B5" w:rsidR="009F2EAD">
        <w:rPr>
          <w:lang w:val="nb-NO"/>
        </w:rPr>
        <w:t xml:space="preserve"> </w:t>
      </w:r>
      <w:r w:rsidRPr="000630B5" w:rsidR="00CC7B0D">
        <w:rPr>
          <w:lang w:val="nb-NO"/>
        </w:rPr>
        <w:t>– looks like a wh––“ (</w:t>
      </w:r>
      <w:r w:rsidRPr="000630B5" w:rsidR="00CC7B0D">
        <w:rPr>
          <w:i/>
          <w:lang w:val="nb-NO"/>
        </w:rPr>
        <w:t>“Skulle jeg k–– henne måtte det bli med bind for øya. Synes dama er dritstygg – ser ut som en h––”</w:t>
      </w:r>
      <w:r w:rsidRPr="000630B5" w:rsidR="003862B1">
        <w:rPr>
          <w:lang w:val="nb-NO"/>
        </w:rPr>
        <w:t xml:space="preserve"> </w:t>
      </w:r>
      <w:r w:rsidRPr="000630B5" w:rsidR="003862B1">
        <w:rPr>
          <w:rFonts w:cstheme="minorHAnsi"/>
          <w:lang w:val="nb-NO"/>
        </w:rPr>
        <w:t>–</w:t>
      </w:r>
      <w:r w:rsidRPr="000630B5" w:rsidR="003862B1">
        <w:rPr>
          <w:lang w:val="nb-NO"/>
        </w:rPr>
        <w:t xml:space="preserve"> </w:t>
      </w:r>
      <w:r w:rsidRPr="000630B5" w:rsidR="00F343AD">
        <w:rPr>
          <w:lang w:val="nb-NO"/>
        </w:rPr>
        <w:t>hereinafter “comment 2”)</w:t>
      </w:r>
      <w:r w:rsidRPr="000630B5" w:rsidR="00CC7B0D">
        <w:rPr>
          <w:lang w:val="nb-NO"/>
        </w:rPr>
        <w:t>.</w:t>
      </w:r>
      <w:r w:rsidRPr="000630B5" w:rsidR="005F7E49">
        <w:rPr>
          <w:lang w:val="nb-NO"/>
        </w:rPr>
        <w:t xml:space="preserve"> </w:t>
      </w:r>
      <w:r w:rsidRPr="000630B5" w:rsidR="005F7E49">
        <w:t>Thereafter a poster asked: “How old is she now?”, to which the last comment</w:t>
      </w:r>
      <w:r w:rsidRPr="000630B5" w:rsidR="00543EF1">
        <w:t>e</w:t>
      </w:r>
      <w:r w:rsidRPr="000630B5" w:rsidR="005F7E49">
        <w:t>r responded: “She</w:t>
      </w:r>
      <w:r w:rsidRPr="000630B5" w:rsidR="000630B5">
        <w:t>’</w:t>
      </w:r>
      <w:r w:rsidRPr="000630B5" w:rsidR="005F7E49">
        <w:t>s 83</w:t>
      </w:r>
      <w:r w:rsidRPr="000630B5" w:rsidR="001D0ABE">
        <w:t xml:space="preserve"> by now [(</w:t>
      </w:r>
      <w:r w:rsidRPr="000630B5">
        <w:rPr>
          <w:i/>
        </w:rPr>
        <w:t>“</w:t>
      </w:r>
      <w:r w:rsidRPr="000630B5" w:rsidR="001D0ABE">
        <w:rPr>
          <w:i/>
        </w:rPr>
        <w:t>etter</w:t>
      </w:r>
      <w:r w:rsidRPr="000630B5" w:rsidR="00910ABA">
        <w:rPr>
          <w:i/>
        </w:rPr>
        <w:t xml:space="preserve"> </w:t>
      </w:r>
      <w:r w:rsidRPr="000630B5" w:rsidR="001D0ABE">
        <w:rPr>
          <w:i/>
        </w:rPr>
        <w:t>hvert</w:t>
      </w:r>
      <w:r w:rsidRPr="000630B5">
        <w:rPr>
          <w:i/>
        </w:rPr>
        <w:t>”</w:t>
      </w:r>
      <w:r w:rsidRPr="000630B5" w:rsidR="001D0ABE">
        <w:t>)]</w:t>
      </w:r>
      <w:r w:rsidRPr="000630B5" w:rsidR="00910ABA">
        <w:t>. Time flies!”</w:t>
      </w:r>
    </w:p>
    <w:p w:rsidRPr="000630B5" w:rsidR="001D0ABE" w:rsidP="000630B5" w:rsidRDefault="001D0ABE">
      <w:pPr>
        <w:pStyle w:val="ECHRPara"/>
      </w:pPr>
      <w:r w:rsidRPr="000630B5">
        <w:t>All the</w:t>
      </w:r>
      <w:r w:rsidRPr="000630B5" w:rsidR="00C261A1">
        <w:t xml:space="preserve"> comments were made anonymously and </w:t>
      </w:r>
      <w:r w:rsidRPr="000630B5" w:rsidR="003862B1">
        <w:t xml:space="preserve">thus </w:t>
      </w:r>
      <w:r w:rsidRPr="000630B5" w:rsidR="00C261A1">
        <w:t xml:space="preserve">the number of possible different </w:t>
      </w:r>
      <w:r w:rsidRPr="000630B5" w:rsidR="00045221">
        <w:t xml:space="preserve">posters </w:t>
      </w:r>
      <w:r w:rsidRPr="000630B5" w:rsidR="00C261A1">
        <w:t>was unknown.</w:t>
      </w:r>
      <w:r w:rsidRPr="000630B5" w:rsidR="009A2C9F">
        <w:t xml:space="preserve"> According to a printout made</w:t>
      </w:r>
      <w:r w:rsidRPr="000630B5" w:rsidR="003862B1">
        <w:t xml:space="preserve"> at 7.26 p.m.</w:t>
      </w:r>
      <w:r w:rsidRPr="000630B5" w:rsidR="009A2C9F">
        <w:t xml:space="preserve"> on 8 November 2010, comment 1 had by then been read 176 times, while comment 2 had been read </w:t>
      </w:r>
      <w:r w:rsidRPr="000630B5" w:rsidR="003862B1">
        <w:t xml:space="preserve">twelve </w:t>
      </w:r>
      <w:r w:rsidRPr="000630B5" w:rsidR="009A2C9F">
        <w:t>times.</w:t>
      </w:r>
    </w:p>
    <w:p w:rsidRPr="000630B5" w:rsidR="00C82108"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10</w:t>
      </w:r>
      <w:r w:rsidRPr="000630B5">
        <w:fldChar w:fldCharType="end"/>
      </w:r>
      <w:r w:rsidRPr="000630B5">
        <w:t>.  </w:t>
      </w:r>
      <w:r w:rsidRPr="000630B5" w:rsidR="00056BA3">
        <w:t>T</w:t>
      </w:r>
      <w:r w:rsidRPr="000630B5">
        <w:t>he same day, 8 November 2010, the applicant</w:t>
      </w:r>
      <w:r w:rsidRPr="000630B5" w:rsidR="000630B5">
        <w:t>’</w:t>
      </w:r>
      <w:r w:rsidRPr="000630B5">
        <w:t xml:space="preserve">s counsel wrote a letter to the Press Complaints Commission, in the course of the proceedings </w:t>
      </w:r>
      <w:r w:rsidRPr="000630B5" w:rsidR="003862B1">
        <w:t>c</w:t>
      </w:r>
      <w:r w:rsidRPr="000630B5">
        <w:t>on</w:t>
      </w:r>
      <w:r w:rsidRPr="000630B5" w:rsidR="003862B1">
        <w:t>cerning</w:t>
      </w:r>
      <w:r w:rsidRPr="000630B5">
        <w:t xml:space="preserve"> one of the above-mentioned </w:t>
      </w:r>
      <w:r w:rsidRPr="000630B5" w:rsidR="00427D90">
        <w:t>complaints in respect of</w:t>
      </w:r>
      <w:r w:rsidRPr="000630B5">
        <w:t xml:space="preserve"> the coverage of the inheritanc</w:t>
      </w:r>
      <w:r w:rsidRPr="000630B5" w:rsidR="008D1927">
        <w:t>e case (see paragraph 7</w:t>
      </w:r>
      <w:r w:rsidRPr="000630B5" w:rsidR="00F343AD">
        <w:t xml:space="preserve"> above). </w:t>
      </w:r>
      <w:r w:rsidRPr="000630B5" w:rsidR="008F7A6B">
        <w:t>The c</w:t>
      </w:r>
      <w:r w:rsidRPr="000630B5" w:rsidR="00F343AD">
        <w:t xml:space="preserve">ounsel </w:t>
      </w:r>
      <w:r w:rsidRPr="000630B5">
        <w:t xml:space="preserve">stated, </w:t>
      </w:r>
      <w:r w:rsidRPr="000630B5">
        <w:rPr>
          <w:i/>
        </w:rPr>
        <w:t>inter alia</w:t>
      </w:r>
      <w:r w:rsidRPr="000630B5">
        <w:t xml:space="preserve">, that a </w:t>
      </w:r>
      <w:r w:rsidRPr="000630B5" w:rsidR="00F74DD0">
        <w:t>new</w:t>
      </w:r>
      <w:r w:rsidRPr="000630B5">
        <w:t xml:space="preserve"> report had been published in </w:t>
      </w:r>
      <w:r w:rsidRPr="000630B5">
        <w:rPr>
          <w:i/>
        </w:rPr>
        <w:t>Kapital</w:t>
      </w:r>
      <w:r w:rsidRPr="000630B5">
        <w:t xml:space="preserve"> and </w:t>
      </w:r>
      <w:r w:rsidRPr="000630B5" w:rsidR="003862B1">
        <w:t xml:space="preserve">that </w:t>
      </w:r>
      <w:r w:rsidRPr="000630B5">
        <w:t xml:space="preserve">the case had been chosen as </w:t>
      </w:r>
      <w:r w:rsidRPr="000630B5" w:rsidR="00C42CD5">
        <w:t xml:space="preserve">the </w:t>
      </w:r>
      <w:r w:rsidRPr="000630B5">
        <w:t>“</w:t>
      </w:r>
      <w:r w:rsidRPr="000630B5" w:rsidR="00056BA3">
        <w:t>T</w:t>
      </w:r>
      <w:r w:rsidRPr="000630B5">
        <w:t xml:space="preserve">heme of the day” on </w:t>
      </w:r>
      <w:r w:rsidRPr="000630B5">
        <w:rPr>
          <w:i/>
        </w:rPr>
        <w:t>Hegnar Online</w:t>
      </w:r>
      <w:r w:rsidRPr="000630B5">
        <w:t xml:space="preserve">. </w:t>
      </w:r>
      <w:r w:rsidRPr="000630B5" w:rsidR="008F7A6B">
        <w:t xml:space="preserve">In particular, </w:t>
      </w:r>
      <w:r w:rsidRPr="000630B5">
        <w:t xml:space="preserve">Hegnar “allowed the posters to present serious and degrading sexual harassment” of the applicant. In the letter, it was expressly stated that this was not to be made part of the existing complaint against </w:t>
      </w:r>
      <w:r w:rsidRPr="000630B5">
        <w:rPr>
          <w:i/>
        </w:rPr>
        <w:t>Kapital</w:t>
      </w:r>
      <w:r w:rsidRPr="000630B5">
        <w:t xml:space="preserve">, so as not to </w:t>
      </w:r>
      <w:r w:rsidRPr="000630B5" w:rsidR="00D94C85">
        <w:t xml:space="preserve">further </w:t>
      </w:r>
      <w:r w:rsidRPr="000630B5">
        <w:t xml:space="preserve">delay the handling of that complaint by the </w:t>
      </w:r>
      <w:r w:rsidRPr="000630B5" w:rsidR="00045221">
        <w:t>publisher</w:t>
      </w:r>
      <w:r w:rsidRPr="000630B5">
        <w:t>.</w:t>
      </w:r>
      <w:r w:rsidRPr="000630B5" w:rsidR="009A2C9F">
        <w:t xml:space="preserve"> A copy of the printout </w:t>
      </w:r>
      <w:r w:rsidRPr="000630B5" w:rsidR="00EB778B">
        <w:t>of the forum</w:t>
      </w:r>
      <w:r w:rsidRPr="000630B5" w:rsidR="00B17757">
        <w:t xml:space="preserve"> </w:t>
      </w:r>
      <w:r w:rsidRPr="000630B5" w:rsidR="00EB778B">
        <w:t xml:space="preserve">thread in question </w:t>
      </w:r>
      <w:r w:rsidRPr="000630B5" w:rsidR="009A2C9F">
        <w:t>was attached</w:t>
      </w:r>
      <w:r w:rsidRPr="000630B5" w:rsidR="005479B6">
        <w:t xml:space="preserve"> (see paragraph </w:t>
      </w:r>
      <w:r w:rsidRPr="000630B5" w:rsidR="00D22CBA">
        <w:t>9 above).</w:t>
      </w:r>
    </w:p>
    <w:p w:rsidRPr="000630B5" w:rsidR="00C82108"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11</w:t>
      </w:r>
      <w:r w:rsidRPr="000630B5">
        <w:fldChar w:fldCharType="end"/>
      </w:r>
      <w:r w:rsidRPr="000630B5">
        <w:t>.  Mr Hegnar received a copy of the letter and in an email to the Press Complaints Commission</w:t>
      </w:r>
      <w:r w:rsidRPr="000630B5" w:rsidR="00056BA3">
        <w:t xml:space="preserve"> on</w:t>
      </w:r>
      <w:r w:rsidRPr="000630B5">
        <w:t xml:space="preserve"> 9 November 2010 stated, </w:t>
      </w:r>
      <w:r w:rsidRPr="000630B5">
        <w:rPr>
          <w:i/>
        </w:rPr>
        <w:t>inter alia</w:t>
      </w:r>
      <w:r w:rsidRPr="000630B5">
        <w:t xml:space="preserve">, that </w:t>
      </w:r>
      <w:r w:rsidRPr="000630B5">
        <w:rPr>
          <w:i/>
        </w:rPr>
        <w:t>Hegnar Online</w:t>
      </w:r>
      <w:r w:rsidRPr="000630B5">
        <w:t xml:space="preserve"> was a separate newspaper with its own editor, unrelated to </w:t>
      </w:r>
      <w:r w:rsidRPr="000630B5">
        <w:rPr>
          <w:i/>
        </w:rPr>
        <w:t>Kapital</w:t>
      </w:r>
      <w:r w:rsidRPr="000630B5">
        <w:t xml:space="preserve">. He submitted that it could not therefore be taken into account in a complaint against the latter. The Commission wrote an email to both parties the following day </w:t>
      </w:r>
      <w:r w:rsidRPr="000630B5" w:rsidR="00F74DD0">
        <w:t xml:space="preserve">stating </w:t>
      </w:r>
      <w:r w:rsidRPr="000630B5">
        <w:t xml:space="preserve">that it – having </w:t>
      </w:r>
      <w:r w:rsidRPr="000630B5" w:rsidR="00A516C2">
        <w:t>spoken</w:t>
      </w:r>
      <w:r w:rsidRPr="000630B5">
        <w:t xml:space="preserve"> with the applicant</w:t>
      </w:r>
      <w:r w:rsidRPr="000630B5" w:rsidR="000630B5">
        <w:t>’</w:t>
      </w:r>
      <w:r w:rsidRPr="000630B5">
        <w:t>s counsel – noted that the letter of 8 November</w:t>
      </w:r>
      <w:r w:rsidRPr="000630B5" w:rsidR="00045221">
        <w:t xml:space="preserve"> 2010</w:t>
      </w:r>
      <w:r w:rsidRPr="000630B5">
        <w:t xml:space="preserve"> did not amount to a new complaint, but was an appendix to the documents in the pending case against </w:t>
      </w:r>
      <w:r w:rsidRPr="000630B5">
        <w:rPr>
          <w:i/>
        </w:rPr>
        <w:t xml:space="preserve">Kapital </w:t>
      </w:r>
      <w:r w:rsidRPr="000630B5">
        <w:t xml:space="preserve">and did not relate to </w:t>
      </w:r>
      <w:r w:rsidRPr="000630B5">
        <w:rPr>
          <w:i/>
        </w:rPr>
        <w:t>Hegnar Online</w:t>
      </w:r>
      <w:r w:rsidRPr="000630B5">
        <w:t>.</w:t>
      </w:r>
    </w:p>
    <w:p w:rsidRPr="000630B5" w:rsidR="00C82108"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12</w:t>
      </w:r>
      <w:r w:rsidRPr="000630B5">
        <w:fldChar w:fldCharType="end"/>
      </w:r>
      <w:r w:rsidRPr="000630B5">
        <w:t>.  </w:t>
      </w:r>
      <w:r w:rsidRPr="000630B5" w:rsidR="006048E3">
        <w:t>C</w:t>
      </w:r>
      <w:r w:rsidRPr="000630B5">
        <w:t xml:space="preserve">omments </w:t>
      </w:r>
      <w:r w:rsidRPr="000630B5" w:rsidR="008F7A6B">
        <w:t xml:space="preserve">nos. </w:t>
      </w:r>
      <w:r w:rsidRPr="000630B5" w:rsidR="006048E3">
        <w:t xml:space="preserve">1 and 2 </w:t>
      </w:r>
      <w:r w:rsidRPr="000630B5">
        <w:t>were not deleted. The applicant</w:t>
      </w:r>
      <w:r w:rsidRPr="000630B5" w:rsidR="000630B5">
        <w:t>’</w:t>
      </w:r>
      <w:r w:rsidRPr="000630B5">
        <w:t xml:space="preserve">s counsel sent an email </w:t>
      </w:r>
      <w:r w:rsidRPr="000630B5" w:rsidR="00D94C85">
        <w:t xml:space="preserve">at 12.32 p.m. </w:t>
      </w:r>
      <w:r w:rsidRPr="000630B5">
        <w:t>on 17 November 2010 to</w:t>
      </w:r>
      <w:r w:rsidRPr="000630B5" w:rsidR="003E694E">
        <w:t xml:space="preserve"> Mr B</w:t>
      </w:r>
      <w:r w:rsidRPr="000630B5" w:rsidR="00503AA5">
        <w:t>.</w:t>
      </w:r>
      <w:r w:rsidRPr="000630B5" w:rsidR="003E694E">
        <w:t xml:space="preserve"> and</w:t>
      </w:r>
      <w:r w:rsidRPr="000630B5">
        <w:t xml:space="preserve"> Mr H., an editor working for </w:t>
      </w:r>
      <w:r w:rsidRPr="000630B5">
        <w:rPr>
          <w:i/>
        </w:rPr>
        <w:t>Hegnar Online</w:t>
      </w:r>
      <w:r w:rsidRPr="000630B5">
        <w:t>, requesting written confirmation that the comment</w:t>
      </w:r>
      <w:r w:rsidRPr="000630B5" w:rsidR="00EB778B">
        <w:t xml:space="preserve">s would be deleted immediately and arguing that </w:t>
      </w:r>
      <w:r w:rsidRPr="000630B5">
        <w:t>Mr Hegnar himself had “declined all responsibility for the matter” (“</w:t>
      </w:r>
      <w:r w:rsidRPr="000630B5">
        <w:rPr>
          <w:i/>
        </w:rPr>
        <w:t>fraskrev seg alt ansvar for saken</w:t>
      </w:r>
      <w:r w:rsidRPr="000630B5">
        <w:t>”).</w:t>
      </w:r>
    </w:p>
    <w:p w:rsidRPr="000630B5" w:rsidR="00C82108"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13</w:t>
      </w:r>
      <w:r w:rsidRPr="000630B5">
        <w:fldChar w:fldCharType="end"/>
      </w:r>
      <w:r w:rsidRPr="000630B5">
        <w:t xml:space="preserve">.  Mr B. from </w:t>
      </w:r>
      <w:r w:rsidRPr="000630B5">
        <w:rPr>
          <w:i/>
        </w:rPr>
        <w:t xml:space="preserve">Hegnar Online </w:t>
      </w:r>
      <w:r w:rsidRPr="000630B5">
        <w:t xml:space="preserve">responded </w:t>
      </w:r>
      <w:r w:rsidRPr="000630B5" w:rsidR="00045221">
        <w:t xml:space="preserve">at 12.45 p.m. </w:t>
      </w:r>
      <w:r w:rsidRPr="000630B5">
        <w:t>the same day, saying that he was sorry that comments in breach of their guidelines had not been deleted, and that he had now deleted the comments he had found.</w:t>
      </w:r>
    </w:p>
    <w:p w:rsidRPr="000630B5" w:rsidR="008D0AC9" w:rsidP="000630B5" w:rsidRDefault="009E52A6">
      <w:pPr>
        <w:pStyle w:val="ECHRPara"/>
      </w:pPr>
      <w:r w:rsidRPr="000630B5">
        <w:fldChar w:fldCharType="begin"/>
      </w:r>
      <w:r w:rsidRPr="000630B5">
        <w:instrText xml:space="preserve"> SEQ level0 \*arabic </w:instrText>
      </w:r>
      <w:r w:rsidRPr="000630B5">
        <w:fldChar w:fldCharType="separate"/>
      </w:r>
      <w:r w:rsidRPr="000630B5" w:rsidR="000630B5">
        <w:rPr>
          <w:noProof/>
        </w:rPr>
        <w:t>14</w:t>
      </w:r>
      <w:r w:rsidRPr="000630B5">
        <w:fldChar w:fldCharType="end"/>
      </w:r>
      <w:r w:rsidRPr="000630B5">
        <w:t>.  </w:t>
      </w:r>
      <w:r w:rsidRPr="000630B5" w:rsidR="001A30FA">
        <w:t xml:space="preserve">On 19 November 2010 Mr Hegnar wrote an editorial in </w:t>
      </w:r>
      <w:r w:rsidRPr="000630B5" w:rsidR="001A30FA">
        <w:rPr>
          <w:i/>
        </w:rPr>
        <w:t>Kapital</w:t>
      </w:r>
      <w:r w:rsidRPr="000630B5" w:rsidR="001A30FA">
        <w:t xml:space="preserve"> </w:t>
      </w:r>
      <w:r w:rsidRPr="000630B5" w:rsidR="00F74DD0">
        <w:t xml:space="preserve">commenting </w:t>
      </w:r>
      <w:r w:rsidRPr="000630B5" w:rsidR="003E0F24">
        <w:t>on the applicant</w:t>
      </w:r>
      <w:r w:rsidRPr="000630B5" w:rsidR="000630B5">
        <w:t>’</w:t>
      </w:r>
      <w:r w:rsidRPr="000630B5" w:rsidR="003E0F24">
        <w:t xml:space="preserve">s </w:t>
      </w:r>
      <w:r w:rsidRPr="000630B5" w:rsidR="008D0AC9">
        <w:t xml:space="preserve">remarks on the forum comments in the context of the complaint against </w:t>
      </w:r>
      <w:r w:rsidRPr="000630B5" w:rsidR="008D0AC9">
        <w:rPr>
          <w:i/>
        </w:rPr>
        <w:t>Kapital</w:t>
      </w:r>
      <w:r w:rsidRPr="000630B5" w:rsidR="008D0AC9">
        <w:t xml:space="preserve"> (see paragraph</w:t>
      </w:r>
      <w:r w:rsidRPr="000630B5" w:rsidR="00AF46A6">
        <w:t xml:space="preserve"> </w:t>
      </w:r>
      <w:r w:rsidRPr="000630B5" w:rsidR="0057019C">
        <w:t>10</w:t>
      </w:r>
      <w:r w:rsidRPr="000630B5" w:rsidR="008D0AC9">
        <w:t xml:space="preserve"> above). In the editorial, he stated that </w:t>
      </w:r>
      <w:r w:rsidRPr="000630B5" w:rsidR="008D0AC9">
        <w:rPr>
          <w:i/>
        </w:rPr>
        <w:t xml:space="preserve">Hegnar Online </w:t>
      </w:r>
      <w:r w:rsidRPr="000630B5" w:rsidR="008D0AC9">
        <w:t xml:space="preserve">was unrelated to </w:t>
      </w:r>
      <w:r w:rsidRPr="000630B5" w:rsidR="008D0AC9">
        <w:rPr>
          <w:i/>
        </w:rPr>
        <w:t>Kapital</w:t>
      </w:r>
      <w:r w:rsidRPr="000630B5" w:rsidR="008D0AC9">
        <w:t xml:space="preserve"> and, furthermore, that </w:t>
      </w:r>
      <w:r w:rsidRPr="000630B5" w:rsidR="00045221">
        <w:rPr>
          <w:i/>
        </w:rPr>
        <w:t xml:space="preserve">Kapital </w:t>
      </w:r>
      <w:r w:rsidRPr="000630B5" w:rsidR="00045221">
        <w:t xml:space="preserve">would not take responsibility for </w:t>
      </w:r>
      <w:r w:rsidRPr="000630B5" w:rsidR="008D0AC9">
        <w:t>what eager comment</w:t>
      </w:r>
      <w:r w:rsidRPr="000630B5" w:rsidR="00F74DD0">
        <w:t>e</w:t>
      </w:r>
      <w:r w:rsidRPr="000630B5" w:rsidR="008D0AC9">
        <w:t>rs wrote on</w:t>
      </w:r>
      <w:r w:rsidRPr="000630B5" w:rsidR="008D0AC9">
        <w:rPr>
          <w:i/>
        </w:rPr>
        <w:t xml:space="preserve"> Hegnar Online</w:t>
      </w:r>
      <w:r w:rsidRPr="000630B5" w:rsidR="00045221">
        <w:t>, which he described as</w:t>
      </w:r>
      <w:r w:rsidRPr="000630B5" w:rsidR="008D0AC9">
        <w:t xml:space="preserve"> “an open forum”. The editorial read, </w:t>
      </w:r>
      <w:r w:rsidRPr="000630B5" w:rsidR="008D0AC9">
        <w:rPr>
          <w:i/>
        </w:rPr>
        <w:t>inter alia</w:t>
      </w:r>
      <w:r w:rsidRPr="000630B5" w:rsidR="00F74DD0">
        <w:t>, as follows</w:t>
      </w:r>
      <w:r w:rsidRPr="000630B5" w:rsidR="008D0AC9">
        <w:t>:</w:t>
      </w:r>
    </w:p>
    <w:p w:rsidRPr="000630B5" w:rsidR="008D0AC9" w:rsidP="000630B5" w:rsidRDefault="008D0AC9">
      <w:pPr>
        <w:pStyle w:val="ECHRParaQuote"/>
      </w:pPr>
      <w:r w:rsidRPr="000630B5">
        <w:t>“</w:t>
      </w:r>
      <w:r w:rsidRPr="000630B5" w:rsidR="00EA3C01">
        <w:t>...</w:t>
      </w:r>
      <w:r w:rsidRPr="000630B5">
        <w:t xml:space="preserve"> Many strange, annoying and plainly wrong things are written on such open websites, where there is subsequent control and no editorial treatment prior to publishing.</w:t>
      </w:r>
    </w:p>
    <w:p w:rsidRPr="000630B5" w:rsidR="003E0F24" w:rsidP="000630B5" w:rsidRDefault="008D0AC9">
      <w:pPr>
        <w:pStyle w:val="ECHRParaQuote"/>
      </w:pPr>
      <w:r w:rsidRPr="000630B5">
        <w:t xml:space="preserve">Also we ourselves must, at times, </w:t>
      </w:r>
      <w:r w:rsidRPr="000630B5" w:rsidR="00716F19">
        <w:t>endure</w:t>
      </w:r>
      <w:r w:rsidRPr="000630B5">
        <w:t xml:space="preserve"> </w:t>
      </w:r>
      <w:r w:rsidRPr="000630B5" w:rsidR="00716F19">
        <w:t xml:space="preserve">harsh </w:t>
      </w:r>
      <w:r w:rsidRPr="000630B5">
        <w:t>comments (“</w:t>
      </w:r>
      <w:r w:rsidRPr="000630B5" w:rsidR="00A516C2">
        <w:rPr>
          <w:i/>
        </w:rPr>
        <w:t xml:space="preserve">tåle røff </w:t>
      </w:r>
      <w:r w:rsidRPr="000630B5">
        <w:rPr>
          <w:i/>
        </w:rPr>
        <w:t>omtale</w:t>
      </w:r>
      <w:r w:rsidRPr="000630B5">
        <w:t xml:space="preserve">”) </w:t>
      </w:r>
      <w:r w:rsidRPr="000630B5" w:rsidR="00E10EC1">
        <w:t xml:space="preserve">on </w:t>
      </w:r>
      <w:r w:rsidRPr="000630B5">
        <w:t>such websites, but we cannot rush off to the Press Complaints Commission with it.”</w:t>
      </w:r>
    </w:p>
    <w:p w:rsidRPr="000630B5" w:rsidR="00C82108"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15</w:t>
      </w:r>
      <w:r w:rsidRPr="000630B5">
        <w:fldChar w:fldCharType="end"/>
      </w:r>
      <w:r w:rsidRPr="000630B5">
        <w:t xml:space="preserve">.  On </w:t>
      </w:r>
      <w:r w:rsidRPr="000630B5" w:rsidR="009903FB">
        <w:t>23</w:t>
      </w:r>
      <w:r w:rsidRPr="000630B5">
        <w:t xml:space="preserve"> November 2010 the Press Complaints Commission </w:t>
      </w:r>
      <w:r w:rsidRPr="000630B5" w:rsidR="00E10EC1">
        <w:t xml:space="preserve">examined </w:t>
      </w:r>
      <w:r w:rsidRPr="000630B5">
        <w:t>the applicant</w:t>
      </w:r>
      <w:r w:rsidRPr="000630B5" w:rsidR="000630B5">
        <w:t>’</w:t>
      </w:r>
      <w:r w:rsidRPr="000630B5">
        <w:t xml:space="preserve">s complaints against </w:t>
      </w:r>
      <w:r w:rsidRPr="000630B5">
        <w:rPr>
          <w:i/>
        </w:rPr>
        <w:t xml:space="preserve">Kapital </w:t>
      </w:r>
      <w:r w:rsidRPr="000630B5">
        <w:t xml:space="preserve">and </w:t>
      </w:r>
      <w:r w:rsidRPr="000630B5">
        <w:rPr>
          <w:i/>
        </w:rPr>
        <w:t xml:space="preserve">Finansavisen </w:t>
      </w:r>
      <w:r w:rsidRPr="000630B5" w:rsidR="00EA3C01">
        <w:t>(see paragraph </w:t>
      </w:r>
      <w:r w:rsidRPr="000630B5" w:rsidR="0057019C">
        <w:t>6</w:t>
      </w:r>
      <w:r w:rsidRPr="000630B5">
        <w:t xml:space="preserve"> above), and found that both </w:t>
      </w:r>
      <w:r w:rsidRPr="000630B5" w:rsidR="00716F19">
        <w:t xml:space="preserve">publications </w:t>
      </w:r>
      <w:r w:rsidRPr="000630B5">
        <w:t>had breached the code of conduct for journalists (</w:t>
      </w:r>
      <w:r w:rsidRPr="000630B5">
        <w:rPr>
          <w:i/>
        </w:rPr>
        <w:t>Vær varsom-plakaten</w:t>
      </w:r>
      <w:r w:rsidRPr="000630B5">
        <w:t xml:space="preserve">): </w:t>
      </w:r>
      <w:r w:rsidRPr="000630B5">
        <w:rPr>
          <w:i/>
        </w:rPr>
        <w:t xml:space="preserve">Kapital </w:t>
      </w:r>
      <w:r w:rsidRPr="000630B5">
        <w:t xml:space="preserve">for their use of a </w:t>
      </w:r>
      <w:r w:rsidRPr="000630B5" w:rsidR="00755B4D">
        <w:t xml:space="preserve">misleading </w:t>
      </w:r>
      <w:r w:rsidRPr="000630B5">
        <w:t xml:space="preserve">headline </w:t>
      </w:r>
      <w:r w:rsidRPr="000630B5" w:rsidR="009903FB">
        <w:t xml:space="preserve">(case no. 187/10) </w:t>
      </w:r>
      <w:r w:rsidRPr="000630B5">
        <w:t xml:space="preserve">and </w:t>
      </w:r>
      <w:r w:rsidRPr="000630B5">
        <w:rPr>
          <w:i/>
        </w:rPr>
        <w:t xml:space="preserve">Finansavisen </w:t>
      </w:r>
      <w:r w:rsidRPr="000630B5">
        <w:t>for not giving the applicant the opportunity to reply</w:t>
      </w:r>
      <w:r w:rsidRPr="000630B5" w:rsidR="009903FB">
        <w:t xml:space="preserve"> </w:t>
      </w:r>
      <w:r w:rsidRPr="000630B5" w:rsidR="00E10EC1">
        <w:t xml:space="preserve">simultaneously </w:t>
      </w:r>
      <w:r w:rsidRPr="000630B5" w:rsidR="009903FB">
        <w:t>(case no. 192/10)</w:t>
      </w:r>
      <w:r w:rsidRPr="000630B5">
        <w:t>.</w:t>
      </w:r>
    </w:p>
    <w:p w:rsidRPr="000630B5" w:rsidR="00EA3C01"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16</w:t>
      </w:r>
      <w:r w:rsidRPr="000630B5">
        <w:fldChar w:fldCharType="end"/>
      </w:r>
      <w:r w:rsidRPr="000630B5">
        <w:t>.  </w:t>
      </w:r>
      <w:r w:rsidRPr="000630B5" w:rsidR="00AF46A6">
        <w:t xml:space="preserve">On 28 November 2010 a forum thread was started </w:t>
      </w:r>
      <w:r w:rsidRPr="000630B5" w:rsidR="00E10EC1">
        <w:t xml:space="preserve">on </w:t>
      </w:r>
      <w:r w:rsidRPr="000630B5" w:rsidR="00AF46A6">
        <w:t xml:space="preserve">the subforum “Media”. </w:t>
      </w:r>
      <w:r w:rsidRPr="000630B5" w:rsidR="005E137B">
        <w:t>The thread starter</w:t>
      </w:r>
      <w:r w:rsidRPr="000630B5" w:rsidR="005C27EB">
        <w:t>, under the headline “Mona Høiness vs Trygve Hegnar”,</w:t>
      </w:r>
      <w:r w:rsidRPr="000630B5" w:rsidR="005E137B">
        <w:t xml:space="preserve"> commented on the inheritance case and</w:t>
      </w:r>
      <w:r w:rsidRPr="000630B5" w:rsidR="00E10EC1">
        <w:t xml:space="preserve"> </w:t>
      </w:r>
      <w:r w:rsidRPr="000630B5" w:rsidR="005E137B">
        <w:t>the applicant</w:t>
      </w:r>
      <w:r w:rsidRPr="000630B5" w:rsidR="000630B5">
        <w:t>’</w:t>
      </w:r>
      <w:r w:rsidRPr="000630B5" w:rsidR="005E137B">
        <w:t xml:space="preserve">s </w:t>
      </w:r>
      <w:r w:rsidRPr="000630B5" w:rsidR="00E10EC1">
        <w:t xml:space="preserve">allegation </w:t>
      </w:r>
      <w:r w:rsidRPr="000630B5" w:rsidR="005E137B">
        <w:t>that she was being sexually harassed (s</w:t>
      </w:r>
      <w:r w:rsidRPr="000630B5" w:rsidR="00BD4DC9">
        <w:t>ee paragraphs 7</w:t>
      </w:r>
      <w:r w:rsidRPr="000630B5" w:rsidR="005E137B">
        <w:t xml:space="preserve"> and </w:t>
      </w:r>
      <w:r w:rsidRPr="000630B5" w:rsidR="00BD4DC9">
        <w:t>10</w:t>
      </w:r>
      <w:r w:rsidRPr="000630B5" w:rsidR="005E137B">
        <w:t xml:space="preserve"> above)</w:t>
      </w:r>
      <w:r w:rsidRPr="000630B5" w:rsidR="005F7E49">
        <w:t>.</w:t>
      </w:r>
      <w:r w:rsidRPr="000630B5" w:rsidR="00A54EDD">
        <w:t xml:space="preserve"> </w:t>
      </w:r>
      <w:r w:rsidRPr="000630B5" w:rsidR="005E137B">
        <w:t>The next posting</w:t>
      </w:r>
      <w:r w:rsidRPr="000630B5" w:rsidR="005F7E49">
        <w:t xml:space="preserve"> in the thread</w:t>
      </w:r>
      <w:r w:rsidRPr="000630B5" w:rsidR="005E137B">
        <w:t xml:space="preserve">, made the same day, </w:t>
      </w:r>
      <w:r w:rsidRPr="000630B5" w:rsidR="00E10EC1">
        <w:t xml:space="preserve">said </w:t>
      </w:r>
      <w:r w:rsidRPr="000630B5" w:rsidR="005E137B">
        <w:t>only: “Ask if Mona knows trønderbjørn? :))” (</w:t>
      </w:r>
      <w:r w:rsidRPr="000630B5" w:rsidR="005E137B">
        <w:rPr>
          <w:i/>
        </w:rPr>
        <w:t>“Spør om Mona kjenner trønderbjørn? :))”</w:t>
      </w:r>
      <w:r w:rsidRPr="000630B5" w:rsidR="005E137B">
        <w:t>)</w:t>
      </w:r>
    </w:p>
    <w:p w:rsidRPr="000630B5" w:rsidR="00C82108" w:rsidP="000630B5" w:rsidRDefault="00A54EDD">
      <w:pPr>
        <w:pStyle w:val="ECHRPara"/>
      </w:pPr>
      <w:r w:rsidRPr="000630B5">
        <w:t xml:space="preserve">On 30 November 2010 the next </w:t>
      </w:r>
      <w:r w:rsidRPr="000630B5" w:rsidR="005F7E49">
        <w:t xml:space="preserve">poster commented: “some </w:t>
      </w:r>
      <w:r w:rsidRPr="000630B5">
        <w:t>have a passion for popstars and football players, while others like to hang around centres for the elderly and old people</w:t>
      </w:r>
      <w:r w:rsidRPr="000630B5" w:rsidR="000630B5">
        <w:t>’</w:t>
      </w:r>
      <w:r w:rsidRPr="000630B5">
        <w:t xml:space="preserve">s homes”, before another wrote: “are you old, ill and confused? The law firm MH takes the case. NB! Pre-payment only”. </w:t>
      </w:r>
      <w:r w:rsidRPr="000630B5" w:rsidR="00E10EC1">
        <w:t xml:space="preserve">At 11.02 a.m. </w:t>
      </w:r>
      <w:r w:rsidRPr="000630B5">
        <w:t>the same day</w:t>
      </w:r>
      <w:r w:rsidRPr="000630B5" w:rsidR="00E10EC1">
        <w:t xml:space="preserve"> </w:t>
      </w:r>
      <w:r w:rsidRPr="000630B5" w:rsidR="00C82108">
        <w:t>a comment</w:t>
      </w:r>
      <w:r w:rsidRPr="000630B5" w:rsidR="00CC7B0D">
        <w:t xml:space="preserve"> </w:t>
      </w:r>
      <w:r w:rsidRPr="000630B5" w:rsidR="00C82108">
        <w:t>raising the question whether the applicant</w:t>
      </w:r>
      <w:r w:rsidRPr="000630B5" w:rsidR="00CC7B0D">
        <w:t xml:space="preserve"> was</w:t>
      </w:r>
      <w:r w:rsidRPr="000630B5" w:rsidR="00C82108">
        <w:t xml:space="preserve"> “still</w:t>
      </w:r>
      <w:r w:rsidRPr="000630B5" w:rsidR="00CC7B0D">
        <w:t xml:space="preserve"> shagging” </w:t>
      </w:r>
      <w:r w:rsidRPr="000630B5" w:rsidR="0067344F">
        <w:t>someone</w:t>
      </w:r>
      <w:r w:rsidRPr="000630B5" w:rsidR="00CC7B0D">
        <w:t xml:space="preserve"> referred to by the nickname “</w:t>
      </w:r>
      <w:r w:rsidRPr="000630B5" w:rsidR="00CC7B0D">
        <w:rPr>
          <w:i/>
        </w:rPr>
        <w:t>trønderbjørn</w:t>
      </w:r>
      <w:r w:rsidRPr="000630B5" w:rsidR="00C82108">
        <w:t>”</w:t>
      </w:r>
      <w:r w:rsidRPr="000630B5" w:rsidR="00BD4DC9">
        <w:t xml:space="preserve"> (see paragraph 27</w:t>
      </w:r>
      <w:r w:rsidRPr="000630B5" w:rsidR="00CC7B0D">
        <w:t xml:space="preserve"> below) (</w:t>
      </w:r>
      <w:r w:rsidRPr="000630B5" w:rsidR="00CC7B0D">
        <w:rPr>
          <w:i/>
        </w:rPr>
        <w:t xml:space="preserve">“Driver hun fortsatt </w:t>
      </w:r>
      <w:r w:rsidRPr="000630B5" w:rsidR="00CC7B0D">
        <w:rPr>
          <w:i/>
          <w:lang w:val="en-US"/>
        </w:rPr>
        <w:t>å knuller på denne trønderbjørn</w:t>
      </w:r>
      <w:r w:rsidRPr="000630B5" w:rsidR="00CC7B0D">
        <w:rPr>
          <w:i/>
        </w:rPr>
        <w:t>?”</w:t>
      </w:r>
      <w:r w:rsidRPr="000630B5" w:rsidR="00716F19">
        <w:t xml:space="preserve"> </w:t>
      </w:r>
      <w:r w:rsidRPr="000630B5" w:rsidR="00716F19">
        <w:sym w:font="Symbol" w:char="F02D"/>
      </w:r>
      <w:r w:rsidRPr="000630B5" w:rsidR="00716F19">
        <w:t xml:space="preserve"> </w:t>
      </w:r>
      <w:r w:rsidRPr="000630B5" w:rsidR="00AF46A6">
        <w:t xml:space="preserve">hereinafter “comment 3”) </w:t>
      </w:r>
      <w:r w:rsidRPr="000630B5" w:rsidR="00C82108">
        <w:t>was posted.</w:t>
      </w:r>
    </w:p>
    <w:p w:rsidRPr="000630B5" w:rsidR="00A54EDD" w:rsidP="000630B5" w:rsidRDefault="00A54EDD">
      <w:pPr>
        <w:pStyle w:val="ECHRPara"/>
      </w:pPr>
      <w:r w:rsidRPr="000630B5">
        <w:t>On 1 December 2010 a poster wrote: “saw a woman sneak out of bor</w:t>
      </w:r>
      <w:r w:rsidRPr="000630B5" w:rsidR="00910ABA">
        <w:t>gen kremat. [</w:t>
      </w:r>
      <w:r w:rsidRPr="000630B5" w:rsidR="0072179A">
        <w:t>(</w:t>
      </w:r>
      <w:r w:rsidRPr="000630B5" w:rsidR="00045221">
        <w:t>a</w:t>
      </w:r>
      <w:r w:rsidRPr="000630B5" w:rsidR="00910ABA">
        <w:t xml:space="preserve"> cremator</w:t>
      </w:r>
      <w:r w:rsidRPr="000630B5" w:rsidR="00E10EC1">
        <w:t>ium</w:t>
      </w:r>
      <w:r w:rsidRPr="000630B5">
        <w:t xml:space="preserve"> in Oslo</w:t>
      </w:r>
      <w:r w:rsidRPr="000630B5" w:rsidR="0072179A">
        <w:t>)</w:t>
      </w:r>
      <w:r w:rsidRPr="000630B5">
        <w:t>] with two handbags filled with golden jewel</w:t>
      </w:r>
      <w:r w:rsidRPr="000630B5" w:rsidR="00E10EC1">
        <w:t>le</w:t>
      </w:r>
      <w:r w:rsidRPr="000630B5">
        <w:t xml:space="preserve">ry and wallets. </w:t>
      </w:r>
      <w:r w:rsidRPr="000630B5" w:rsidR="00E10EC1">
        <w:t>S</w:t>
      </w:r>
      <w:r w:rsidRPr="000630B5">
        <w:t xml:space="preserve">he </w:t>
      </w:r>
      <w:r w:rsidRPr="000630B5" w:rsidR="00716F19">
        <w:t xml:space="preserve">smiled </w:t>
      </w:r>
      <w:r w:rsidRPr="000630B5" w:rsidR="006048E3">
        <w:t xml:space="preserve">knowingly </w:t>
      </w:r>
      <w:r w:rsidRPr="000630B5" w:rsidR="00EA3C01">
        <w:t>...</w:t>
      </w:r>
      <w:r w:rsidRPr="000630B5" w:rsidR="006048E3">
        <w:t xml:space="preserve"> </w:t>
      </w:r>
      <w:r w:rsidRPr="000630B5" w:rsidR="001D0ABE">
        <w:t>[(</w:t>
      </w:r>
      <w:r w:rsidRPr="000630B5" w:rsidR="00716F19">
        <w:rPr>
          <w:i/>
        </w:rPr>
        <w:t>“</w:t>
      </w:r>
      <w:r w:rsidRPr="000630B5" w:rsidR="001D0ABE">
        <w:rPr>
          <w:i/>
        </w:rPr>
        <w:t>smilte lurt</w:t>
      </w:r>
      <w:r w:rsidRPr="000630B5" w:rsidR="00716F19">
        <w:rPr>
          <w:i/>
        </w:rPr>
        <w:t>”</w:t>
      </w:r>
      <w:r w:rsidRPr="000630B5" w:rsidR="006048E3">
        <w:t>)]”</w:t>
      </w:r>
      <w:r w:rsidRPr="000630B5" w:rsidR="001D0ABE">
        <w:t>.</w:t>
      </w:r>
    </w:p>
    <w:p w:rsidRPr="000630B5" w:rsidR="001D0ABE" w:rsidP="000630B5" w:rsidRDefault="001D0ABE">
      <w:pPr>
        <w:pStyle w:val="ECHRPara"/>
      </w:pPr>
      <w:r w:rsidRPr="000630B5">
        <w:t xml:space="preserve">All the comments </w:t>
      </w:r>
      <w:r w:rsidRPr="000630B5" w:rsidR="00C261A1">
        <w:t xml:space="preserve">in </w:t>
      </w:r>
      <w:r w:rsidRPr="000630B5" w:rsidR="00716F19">
        <w:t xml:space="preserve">the </w:t>
      </w:r>
      <w:r w:rsidRPr="000630B5" w:rsidR="00C261A1">
        <w:t xml:space="preserve">thread </w:t>
      </w:r>
      <w:r w:rsidRPr="000630B5" w:rsidR="00E10EC1">
        <w:t>were</w:t>
      </w:r>
      <w:r w:rsidRPr="000630B5">
        <w:t xml:space="preserve"> made anonymously.</w:t>
      </w:r>
    </w:p>
    <w:p w:rsidRPr="000630B5" w:rsidR="00AF46A6" w:rsidP="000630B5" w:rsidRDefault="00AF46A6">
      <w:pPr>
        <w:pStyle w:val="ECHRPara"/>
      </w:pPr>
      <w:r w:rsidRPr="000630B5">
        <w:fldChar w:fldCharType="begin"/>
      </w:r>
      <w:r w:rsidRPr="000630B5">
        <w:instrText xml:space="preserve"> SEQ level0 \*arabic </w:instrText>
      </w:r>
      <w:r w:rsidRPr="000630B5">
        <w:fldChar w:fldCharType="separate"/>
      </w:r>
      <w:r w:rsidRPr="000630B5" w:rsidR="000630B5">
        <w:rPr>
          <w:noProof/>
        </w:rPr>
        <w:t>17</w:t>
      </w:r>
      <w:r w:rsidRPr="000630B5">
        <w:fldChar w:fldCharType="end"/>
      </w:r>
      <w:r w:rsidRPr="000630B5">
        <w:t>.  On 3 December 2010 an editor at a radio station (</w:t>
      </w:r>
      <w:r w:rsidRPr="000630B5">
        <w:rPr>
          <w:i/>
        </w:rPr>
        <w:t>Radio Norge</w:t>
      </w:r>
      <w:r w:rsidRPr="000630B5">
        <w:t>) drew the applicant</w:t>
      </w:r>
      <w:r w:rsidRPr="000630B5" w:rsidR="000630B5">
        <w:t>’</w:t>
      </w:r>
      <w:r w:rsidRPr="000630B5">
        <w:t>s counsel</w:t>
      </w:r>
      <w:r w:rsidRPr="000630B5" w:rsidR="000630B5">
        <w:t>’</w:t>
      </w:r>
      <w:r w:rsidRPr="000630B5">
        <w:t xml:space="preserve">s attention to the debate that had been started on the </w:t>
      </w:r>
      <w:r w:rsidRPr="000630B5">
        <w:rPr>
          <w:i/>
        </w:rPr>
        <w:t>Hegnar Online</w:t>
      </w:r>
      <w:r w:rsidRPr="000630B5">
        <w:t xml:space="preserve"> forum on 28 November 2010 (see paragraph 1</w:t>
      </w:r>
      <w:r w:rsidRPr="000630B5" w:rsidR="0057019C">
        <w:t>6</w:t>
      </w:r>
      <w:r w:rsidRPr="000630B5">
        <w:t xml:space="preserve"> above) and enclosed a copy of the</w:t>
      </w:r>
      <w:r w:rsidRPr="000630B5" w:rsidR="00716F19">
        <w:t xml:space="preserve"> relevant</w:t>
      </w:r>
      <w:r w:rsidRPr="000630B5" w:rsidR="00B17757">
        <w:t xml:space="preserve"> </w:t>
      </w:r>
      <w:r w:rsidRPr="000630B5">
        <w:t>thread in an email.</w:t>
      </w:r>
      <w:r w:rsidRPr="000630B5" w:rsidR="000C4565">
        <w:t xml:space="preserve"> From </w:t>
      </w:r>
      <w:r w:rsidRPr="000630B5" w:rsidR="00716F19">
        <w:t>that</w:t>
      </w:r>
      <w:r w:rsidRPr="000630B5" w:rsidR="000C4565">
        <w:t xml:space="preserve"> it emerged that comment 3 had by then been read 115 times.</w:t>
      </w:r>
    </w:p>
    <w:p w:rsidRPr="000630B5" w:rsidR="00C82108"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18</w:t>
      </w:r>
      <w:r w:rsidRPr="000630B5">
        <w:fldChar w:fldCharType="end"/>
      </w:r>
      <w:r w:rsidRPr="000630B5">
        <w:t>.  On 6 December 2010 the applicant</w:t>
      </w:r>
      <w:r w:rsidRPr="000630B5" w:rsidR="000630B5">
        <w:t>’</w:t>
      </w:r>
      <w:r w:rsidRPr="000630B5">
        <w:t>s legal counsel wrote to Mr H.</w:t>
      </w:r>
      <w:r w:rsidRPr="000630B5" w:rsidR="007C2925">
        <w:t xml:space="preserve">, </w:t>
      </w:r>
      <w:r w:rsidRPr="000630B5" w:rsidR="00E10EC1">
        <w:t xml:space="preserve">attaching </w:t>
      </w:r>
      <w:r w:rsidRPr="000630B5" w:rsidR="007C2925">
        <w:t xml:space="preserve">the email from the editor at the radio station </w:t>
      </w:r>
      <w:r w:rsidRPr="000630B5">
        <w:t xml:space="preserve">and </w:t>
      </w:r>
      <w:r w:rsidRPr="000630B5" w:rsidR="00E10EC1">
        <w:t xml:space="preserve">demanding </w:t>
      </w:r>
      <w:r w:rsidRPr="000630B5">
        <w:t xml:space="preserve">confirmation that </w:t>
      </w:r>
      <w:r w:rsidRPr="000630B5" w:rsidR="00AF46A6">
        <w:t xml:space="preserve">harassing </w:t>
      </w:r>
      <w:r w:rsidRPr="000630B5">
        <w:t>comment</w:t>
      </w:r>
      <w:r w:rsidRPr="000630B5" w:rsidR="00AF46A6">
        <w:t xml:space="preserve">s in the “Media” </w:t>
      </w:r>
      <w:r w:rsidRPr="000630B5" w:rsidR="007C2925">
        <w:t>subforum</w:t>
      </w:r>
      <w:r w:rsidRPr="000630B5">
        <w:t xml:space="preserve"> would be deleted immediately. In an email the same day Mr H. replied that he had </w:t>
      </w:r>
      <w:r w:rsidRPr="000630B5" w:rsidR="007C2925">
        <w:t>also</w:t>
      </w:r>
      <w:r w:rsidRPr="000630B5" w:rsidR="00AF46A6">
        <w:t xml:space="preserve"> </w:t>
      </w:r>
      <w:r w:rsidRPr="000630B5">
        <w:t xml:space="preserve">been contacted by the radio editor </w:t>
      </w:r>
      <w:r w:rsidRPr="000630B5" w:rsidR="00AF46A6">
        <w:t xml:space="preserve">directly </w:t>
      </w:r>
      <w:r w:rsidRPr="000630B5">
        <w:t xml:space="preserve">on 3 December 2010 and, on </w:t>
      </w:r>
      <w:r w:rsidRPr="000630B5" w:rsidR="00E64F10">
        <w:t>checking</w:t>
      </w:r>
      <w:r w:rsidRPr="000630B5">
        <w:t xml:space="preserve">, had </w:t>
      </w:r>
      <w:r w:rsidRPr="000630B5" w:rsidR="00E10EC1">
        <w:t xml:space="preserve">seen </w:t>
      </w:r>
      <w:r w:rsidRPr="000630B5">
        <w:t>that the comment</w:t>
      </w:r>
      <w:r w:rsidRPr="000630B5" w:rsidR="009B3B14">
        <w:t>s</w:t>
      </w:r>
      <w:r w:rsidRPr="000630B5">
        <w:t xml:space="preserve"> </w:t>
      </w:r>
      <w:r w:rsidRPr="000630B5" w:rsidR="00E10EC1">
        <w:t xml:space="preserve">had </w:t>
      </w:r>
      <w:r w:rsidRPr="000630B5" w:rsidR="00AF46A6">
        <w:t xml:space="preserve">by then </w:t>
      </w:r>
      <w:r w:rsidRPr="000630B5">
        <w:t>already been deleted.</w:t>
      </w:r>
    </w:p>
    <w:p w:rsidRPr="000630B5" w:rsidR="00C82108"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19</w:t>
      </w:r>
      <w:r w:rsidRPr="000630B5">
        <w:fldChar w:fldCharType="end"/>
      </w:r>
      <w:r w:rsidRPr="000630B5">
        <w:t xml:space="preserve">.  On 7 January 2011 a complaint concerning the </w:t>
      </w:r>
      <w:r w:rsidRPr="000630B5" w:rsidR="00FC3F33">
        <w:t>t</w:t>
      </w:r>
      <w:r w:rsidRPr="000630B5" w:rsidR="00B17757">
        <w:t xml:space="preserve">wo forum </w:t>
      </w:r>
      <w:r w:rsidRPr="000630B5" w:rsidR="00FC3F33">
        <w:t xml:space="preserve">threads </w:t>
      </w:r>
      <w:r w:rsidRPr="000630B5" w:rsidR="006048E3">
        <w:t xml:space="preserve">as a whole </w:t>
      </w:r>
      <w:r w:rsidRPr="000630B5" w:rsidR="00FC3F33">
        <w:t xml:space="preserve">(see paragraphs </w:t>
      </w:r>
      <w:r w:rsidRPr="000630B5" w:rsidR="000C4565">
        <w:t>9</w:t>
      </w:r>
      <w:r w:rsidRPr="000630B5" w:rsidR="00FC3F33">
        <w:t xml:space="preserve"> and </w:t>
      </w:r>
      <w:r w:rsidRPr="000630B5" w:rsidR="000C4565">
        <w:t>16</w:t>
      </w:r>
      <w:r w:rsidRPr="000630B5" w:rsidR="00FC3F33">
        <w:t xml:space="preserve"> above)</w:t>
      </w:r>
      <w:r w:rsidRPr="000630B5">
        <w:t xml:space="preserve"> was lodged with the Press Complaints Commission. On 22 February 2011 </w:t>
      </w:r>
      <w:r w:rsidRPr="000630B5" w:rsidR="00045221">
        <w:t>it</w:t>
      </w:r>
      <w:r w:rsidRPr="000630B5">
        <w:t xml:space="preserve"> concluded </w:t>
      </w:r>
      <w:r w:rsidRPr="000630B5" w:rsidR="006048E3">
        <w:t>in general terms</w:t>
      </w:r>
      <w:r w:rsidRPr="000630B5" w:rsidR="006048E3">
        <w:rPr>
          <w:b/>
        </w:rPr>
        <w:t xml:space="preserve"> </w:t>
      </w:r>
      <w:r w:rsidRPr="000630B5">
        <w:t>that neither comments with sexual content nor comments that accused the applicant of unethical or unlawful behaviour in the inheritance case were in compliance with the code of conduct for journalists, and that the editors should accordingl</w:t>
      </w:r>
      <w:r w:rsidRPr="000630B5" w:rsidR="009903FB">
        <w:t>y have removed them immediately</w:t>
      </w:r>
      <w:r w:rsidRPr="000630B5" w:rsidR="00B2372A">
        <w:t>, pursuant to a provision in that code</w:t>
      </w:r>
      <w:r w:rsidRPr="000630B5" w:rsidR="009903FB">
        <w:t xml:space="preserve"> (case no. </w:t>
      </w:r>
      <w:r w:rsidRPr="000630B5" w:rsidR="00FC3F33">
        <w:t>00</w:t>
      </w:r>
      <w:r w:rsidRPr="000630B5" w:rsidR="009903FB">
        <w:t>2/11).</w:t>
      </w:r>
    </w:p>
    <w:p w:rsidRPr="000630B5" w:rsidR="00F8268E" w:rsidP="000630B5" w:rsidRDefault="00F8268E">
      <w:pPr>
        <w:pStyle w:val="ECHRPara"/>
      </w:pPr>
      <w:r w:rsidRPr="000630B5">
        <w:fldChar w:fldCharType="begin"/>
      </w:r>
      <w:r w:rsidRPr="000630B5">
        <w:instrText xml:space="preserve"> SEQ level0 \*arabic </w:instrText>
      </w:r>
      <w:r w:rsidRPr="000630B5">
        <w:fldChar w:fldCharType="separate"/>
      </w:r>
      <w:r w:rsidRPr="000630B5" w:rsidR="000630B5">
        <w:rPr>
          <w:noProof/>
        </w:rPr>
        <w:t>20</w:t>
      </w:r>
      <w:r w:rsidRPr="000630B5">
        <w:fldChar w:fldCharType="end"/>
      </w:r>
      <w:r w:rsidRPr="000630B5">
        <w:t>.  </w:t>
      </w:r>
      <w:r w:rsidRPr="000630B5" w:rsidR="00934D22">
        <w:t>On 7 April 2011 the applicant</w:t>
      </w:r>
      <w:r w:rsidRPr="000630B5" w:rsidR="000630B5">
        <w:t>’</w:t>
      </w:r>
      <w:r w:rsidRPr="000630B5" w:rsidR="004C33AB">
        <w:t xml:space="preserve">s </w:t>
      </w:r>
      <w:r w:rsidRPr="000630B5" w:rsidR="00711904">
        <w:t>counsel</w:t>
      </w:r>
      <w:r w:rsidRPr="000630B5" w:rsidR="00934D22">
        <w:t xml:space="preserve"> sent a letter to </w:t>
      </w:r>
      <w:r w:rsidRPr="000630B5" w:rsidR="00934D22">
        <w:rPr>
          <w:i/>
        </w:rPr>
        <w:t>Hegnar Online</w:t>
      </w:r>
      <w:r w:rsidRPr="000630B5" w:rsidR="00934D22">
        <w:t xml:space="preserve"> </w:t>
      </w:r>
      <w:r w:rsidRPr="000630B5" w:rsidR="00A42CFE">
        <w:t>stating</w:t>
      </w:r>
      <w:r w:rsidRPr="000630B5" w:rsidR="00934D22">
        <w:t xml:space="preserve"> </w:t>
      </w:r>
      <w:r w:rsidRPr="000630B5" w:rsidR="004C33AB">
        <w:t>the applicant</w:t>
      </w:r>
      <w:r w:rsidRPr="000630B5" w:rsidR="000630B5">
        <w:t>’</w:t>
      </w:r>
      <w:r w:rsidRPr="000630B5" w:rsidR="004C33AB">
        <w:t>s</w:t>
      </w:r>
      <w:r w:rsidRPr="000630B5" w:rsidR="00934D22">
        <w:t xml:space="preserve"> </w:t>
      </w:r>
      <w:r w:rsidRPr="000630B5" w:rsidR="0053739E">
        <w:t>intention</w:t>
      </w:r>
      <w:r w:rsidRPr="000630B5" w:rsidR="00934D22">
        <w:t xml:space="preserve"> to instigate civil proceedings against </w:t>
      </w:r>
      <w:r w:rsidRPr="000630B5" w:rsidR="00934D22">
        <w:rPr>
          <w:i/>
        </w:rPr>
        <w:t>Hegnar Online</w:t>
      </w:r>
      <w:r w:rsidRPr="000630B5" w:rsidR="00934D22">
        <w:t xml:space="preserve"> and the editor, Mr H., </w:t>
      </w:r>
      <w:r w:rsidRPr="000630B5" w:rsidR="0072179A">
        <w:t>because comments 1 to 3</w:t>
      </w:r>
      <w:r w:rsidRPr="000630B5" w:rsidR="006048E3">
        <w:t xml:space="preserve"> </w:t>
      </w:r>
      <w:r w:rsidRPr="000630B5" w:rsidR="000A35C6">
        <w:t xml:space="preserve">had been </w:t>
      </w:r>
      <w:r w:rsidRPr="000630B5" w:rsidR="006048E3">
        <w:t>defamatory and</w:t>
      </w:r>
      <w:r w:rsidRPr="000630B5" w:rsidR="00934D22">
        <w:t xml:space="preserve"> contrary to Article 246 of the </w:t>
      </w:r>
      <w:r w:rsidRPr="000630B5" w:rsidR="00424E43">
        <w:t>Penal</w:t>
      </w:r>
      <w:r w:rsidRPr="000630B5" w:rsidR="00EA3C01">
        <w:t xml:space="preserve"> Code (see paragraph </w:t>
      </w:r>
      <w:r w:rsidRPr="000630B5" w:rsidR="00DB2752">
        <w:t>43</w:t>
      </w:r>
      <w:r w:rsidRPr="000630B5" w:rsidR="00934D22">
        <w:t xml:space="preserve"> belo</w:t>
      </w:r>
      <w:r w:rsidRPr="000630B5" w:rsidR="007C2925">
        <w:t>w). For the defamation she</w:t>
      </w:r>
      <w:r w:rsidRPr="000630B5" w:rsidR="00934D22">
        <w:t xml:space="preserve"> would claim redress under section 3-6 of the C</w:t>
      </w:r>
      <w:r w:rsidRPr="000630B5" w:rsidR="00DB2752">
        <w:t>ompensation Act (see paragraph 44</w:t>
      </w:r>
      <w:r w:rsidRPr="000630B5" w:rsidR="00934D22">
        <w:t xml:space="preserve"> below), of amounts limited to 250,000 Norwegian kroner (NOK</w:t>
      </w:r>
      <w:r w:rsidRPr="000630B5" w:rsidR="00DF3580">
        <w:t xml:space="preserve"> </w:t>
      </w:r>
      <w:r w:rsidRPr="000630B5" w:rsidR="00937920">
        <w:t>-</w:t>
      </w:r>
      <w:r w:rsidRPr="000630B5" w:rsidR="00DF3580">
        <w:t xml:space="preserve"> </w:t>
      </w:r>
      <w:r w:rsidRPr="000630B5" w:rsidR="00934D22">
        <w:t xml:space="preserve">today approximately 25,000 euros (EUR)) from the company </w:t>
      </w:r>
      <w:r w:rsidRPr="000630B5" w:rsidR="00934D22">
        <w:rPr>
          <w:i/>
        </w:rPr>
        <w:t>Hegnar Online</w:t>
      </w:r>
      <w:r w:rsidRPr="000630B5" w:rsidR="00934D22">
        <w:t xml:space="preserve"> and NOK 25,000 (</w:t>
      </w:r>
      <w:r w:rsidRPr="000630B5" w:rsidR="00DF3580">
        <w:t xml:space="preserve">approximately </w:t>
      </w:r>
      <w:r w:rsidRPr="000630B5" w:rsidR="00511F63">
        <w:t>EUR </w:t>
      </w:r>
      <w:r w:rsidRPr="000630B5" w:rsidR="00934D22">
        <w:t>2,500) from Mr H.</w:t>
      </w:r>
      <w:r w:rsidRPr="000630B5" w:rsidR="007C2925">
        <w:t xml:space="preserve"> personally.</w:t>
      </w:r>
    </w:p>
    <w:p w:rsidRPr="000630B5" w:rsidR="00934D22" w:rsidP="000630B5" w:rsidRDefault="00DF3580">
      <w:pPr>
        <w:pStyle w:val="ECHRPara"/>
      </w:pPr>
      <w:r w:rsidRPr="000630B5">
        <w:t>The a</w:t>
      </w:r>
      <w:r w:rsidRPr="000630B5" w:rsidR="007C2925">
        <w:t>pplicant</w:t>
      </w:r>
      <w:r w:rsidRPr="000630B5" w:rsidR="000630B5">
        <w:t>’</w:t>
      </w:r>
      <w:r w:rsidRPr="000630B5" w:rsidR="007C2925">
        <w:t>s counsel</w:t>
      </w:r>
      <w:r w:rsidRPr="000630B5" w:rsidR="004C33AB">
        <w:t xml:space="preserve"> argued that comments 1</w:t>
      </w:r>
      <w:r w:rsidRPr="000630B5" w:rsidR="0072179A">
        <w:t xml:space="preserve"> to</w:t>
      </w:r>
      <w:r w:rsidRPr="000630B5" w:rsidR="004C33AB">
        <w:t xml:space="preserve"> 3 </w:t>
      </w:r>
      <w:r w:rsidRPr="000630B5" w:rsidR="000A35C6">
        <w:t xml:space="preserve">had </w:t>
      </w:r>
      <w:r w:rsidRPr="000630B5" w:rsidR="00E64F10">
        <w:t xml:space="preserve">constituted </w:t>
      </w:r>
      <w:r w:rsidRPr="000630B5" w:rsidR="004C33AB">
        <w:t>sexual harassment beyond what a publicly known person had to endure and that it was settled law that such derogatory comments, discriminatory to women, were</w:t>
      </w:r>
      <w:r w:rsidRPr="000630B5" w:rsidR="00E64F10">
        <w:t xml:space="preserve"> not</w:t>
      </w:r>
      <w:r w:rsidRPr="000630B5" w:rsidR="004C33AB">
        <w:t xml:space="preserve"> protected by Article 10 of the Convention</w:t>
      </w:r>
      <w:r w:rsidRPr="000630B5" w:rsidR="00E64F10">
        <w:t xml:space="preserve"> under any circumstances</w:t>
      </w:r>
      <w:r w:rsidRPr="000630B5" w:rsidR="004C33AB">
        <w:t xml:space="preserve">. Reference was made to </w:t>
      </w:r>
      <w:r w:rsidRPr="000630B5" w:rsidR="00E64F10">
        <w:t xml:space="preserve">the case of </w:t>
      </w:r>
      <w:r w:rsidRPr="000630B5" w:rsidR="005479B6">
        <w:rPr>
          <w:i/>
        </w:rPr>
        <w:t>Tammer v. </w:t>
      </w:r>
      <w:r w:rsidRPr="000630B5" w:rsidR="00F7703F">
        <w:rPr>
          <w:i/>
        </w:rPr>
        <w:t>Estonia</w:t>
      </w:r>
      <w:r w:rsidRPr="000630B5">
        <w:t xml:space="preserve"> (</w:t>
      </w:r>
      <w:r w:rsidRPr="000630B5" w:rsidR="005479B6">
        <w:t>no. </w:t>
      </w:r>
      <w:r w:rsidRPr="000630B5" w:rsidR="00F7703F">
        <w:t>41205/98, ECHR 2001</w:t>
      </w:r>
      <w:r w:rsidRPr="000630B5" w:rsidR="00F7703F">
        <w:noBreakHyphen/>
        <w:t>I</w:t>
      </w:r>
      <w:r w:rsidRPr="000630B5">
        <w:t>)</w:t>
      </w:r>
      <w:r w:rsidRPr="000630B5" w:rsidR="00F7703F">
        <w:t>.</w:t>
      </w:r>
    </w:p>
    <w:p w:rsidRPr="000630B5" w:rsidR="00F8268E" w:rsidP="000630B5" w:rsidRDefault="00F8268E">
      <w:pPr>
        <w:pStyle w:val="ECHRPara"/>
      </w:pPr>
      <w:r w:rsidRPr="000630B5">
        <w:fldChar w:fldCharType="begin"/>
      </w:r>
      <w:r w:rsidRPr="000630B5">
        <w:instrText xml:space="preserve"> SEQ level0 \*arabic </w:instrText>
      </w:r>
      <w:r w:rsidRPr="000630B5">
        <w:fldChar w:fldCharType="separate"/>
      </w:r>
      <w:r w:rsidRPr="000630B5" w:rsidR="000630B5">
        <w:rPr>
          <w:noProof/>
        </w:rPr>
        <w:t>21</w:t>
      </w:r>
      <w:r w:rsidRPr="000630B5">
        <w:fldChar w:fldCharType="end"/>
      </w:r>
      <w:r w:rsidRPr="000630B5">
        <w:t>.</w:t>
      </w:r>
      <w:r w:rsidRPr="000630B5">
        <w:rPr>
          <w:i/>
        </w:rPr>
        <w:t>  </w:t>
      </w:r>
      <w:r w:rsidRPr="000630B5" w:rsidR="00934D22">
        <w:rPr>
          <w:i/>
        </w:rPr>
        <w:t xml:space="preserve">Hegnar Online </w:t>
      </w:r>
      <w:r w:rsidRPr="000630B5" w:rsidR="00934D22">
        <w:t>and Mr H.</w:t>
      </w:r>
      <w:r w:rsidRPr="000630B5" w:rsidR="000630B5">
        <w:t>’</w:t>
      </w:r>
      <w:r w:rsidRPr="000630B5" w:rsidR="00934D22">
        <w:t xml:space="preserve">s </w:t>
      </w:r>
      <w:r w:rsidRPr="000630B5" w:rsidR="00711904">
        <w:t>counsel</w:t>
      </w:r>
      <w:r w:rsidRPr="000630B5" w:rsidR="005479B6">
        <w:t xml:space="preserve"> responded in a letter of 28 </w:t>
      </w:r>
      <w:r w:rsidRPr="000630B5" w:rsidR="00934D22">
        <w:t xml:space="preserve">April 2011. </w:t>
      </w:r>
      <w:r w:rsidRPr="000630B5" w:rsidR="00EF1CF5">
        <w:t>The c</w:t>
      </w:r>
      <w:r w:rsidRPr="000630B5" w:rsidR="007C2925">
        <w:t>ounsel</w:t>
      </w:r>
      <w:r w:rsidRPr="000630B5" w:rsidR="00934D22">
        <w:t xml:space="preserve"> stated that the company </w:t>
      </w:r>
      <w:r w:rsidRPr="000630B5" w:rsidR="00934D22">
        <w:rPr>
          <w:i/>
        </w:rPr>
        <w:t>Hegnar Media AS</w:t>
      </w:r>
      <w:r w:rsidRPr="000630B5" w:rsidR="00934D22">
        <w:t xml:space="preserve">, into which </w:t>
      </w:r>
      <w:r w:rsidRPr="000630B5" w:rsidR="00934D22">
        <w:rPr>
          <w:i/>
        </w:rPr>
        <w:t xml:space="preserve">Hegnar Online </w:t>
      </w:r>
      <w:r w:rsidRPr="000630B5" w:rsidR="00934D22">
        <w:t xml:space="preserve">had by then been incorporated, had a </w:t>
      </w:r>
      <w:r w:rsidRPr="000630B5" w:rsidR="00045221">
        <w:t xml:space="preserve">procedure </w:t>
      </w:r>
      <w:r w:rsidRPr="000630B5" w:rsidR="00934D22">
        <w:t xml:space="preserve">that made it simple to complain </w:t>
      </w:r>
      <w:r w:rsidRPr="000630B5" w:rsidR="00DF3580">
        <w:t xml:space="preserve">about </w:t>
      </w:r>
      <w:r w:rsidRPr="000630B5" w:rsidR="004C33AB">
        <w:t>forum comments that anyone might consider inappropriate. Next to each post was a link which could</w:t>
      </w:r>
      <w:r w:rsidRPr="000630B5" w:rsidR="00DF3580">
        <w:t xml:space="preserve"> be</w:t>
      </w:r>
      <w:r w:rsidRPr="000630B5" w:rsidR="004C33AB">
        <w:t xml:space="preserve"> click</w:t>
      </w:r>
      <w:r w:rsidRPr="000630B5" w:rsidR="00DF3580">
        <w:t>ed</w:t>
      </w:r>
      <w:r w:rsidRPr="000630B5" w:rsidR="00492721">
        <w:t xml:space="preserve"> on</w:t>
      </w:r>
      <w:r w:rsidRPr="000630B5" w:rsidR="004C33AB">
        <w:t xml:space="preserve"> in order to warn the company (“warning button”). When the company received such complaints, this usually led to deletion of the comment. Between 1,800 and 2,000 comments</w:t>
      </w:r>
      <w:r w:rsidRPr="000630B5" w:rsidR="00DF3580">
        <w:t xml:space="preserve"> per month</w:t>
      </w:r>
      <w:r w:rsidRPr="000630B5" w:rsidR="004C33AB">
        <w:t xml:space="preserve"> were deleted on the basis of such complaints. In addition, the company had moderators who on their own initiative removed comments in breach of the forum guidelines. Comments 1 and 2 had been removed immediately – </w:t>
      </w:r>
      <w:r w:rsidRPr="000630B5" w:rsidR="00DF3580">
        <w:t xml:space="preserve">within </w:t>
      </w:r>
      <w:r w:rsidRPr="000630B5" w:rsidR="004C33AB">
        <w:t>eight minutes</w:t>
      </w:r>
      <w:r w:rsidRPr="000630B5" w:rsidR="007C2925">
        <w:t xml:space="preserve"> </w:t>
      </w:r>
      <w:r w:rsidRPr="000630B5" w:rsidR="00DF3580">
        <w:t xml:space="preserve">of </w:t>
      </w:r>
      <w:r w:rsidRPr="000630B5" w:rsidR="004C33AB">
        <w:t>the applicant</w:t>
      </w:r>
      <w:r w:rsidRPr="000630B5" w:rsidR="000630B5">
        <w:t>’</w:t>
      </w:r>
      <w:r w:rsidRPr="000630B5" w:rsidR="004C33AB">
        <w:t>s complaint</w:t>
      </w:r>
      <w:r w:rsidRPr="000630B5" w:rsidR="0017562E">
        <w:t xml:space="preserve"> –</w:t>
      </w:r>
      <w:r w:rsidRPr="000630B5" w:rsidR="004C33AB">
        <w:t xml:space="preserve"> and comment 3 had been removed on</w:t>
      </w:r>
      <w:r w:rsidRPr="000630B5">
        <w:t xml:space="preserve"> the initiative of a moderator.</w:t>
      </w:r>
    </w:p>
    <w:p w:rsidRPr="000630B5" w:rsidR="00934D22" w:rsidP="000630B5" w:rsidRDefault="004C33AB">
      <w:pPr>
        <w:pStyle w:val="ECHRPara"/>
      </w:pPr>
      <w:r w:rsidRPr="000630B5">
        <w:t xml:space="preserve">In the letter it was further stated </w:t>
      </w:r>
      <w:r w:rsidRPr="000630B5" w:rsidR="00F8268E">
        <w:t xml:space="preserve">that </w:t>
      </w:r>
      <w:r w:rsidRPr="000630B5" w:rsidR="00F8268E">
        <w:rPr>
          <w:i/>
        </w:rPr>
        <w:t xml:space="preserve">Hegnar Media </w:t>
      </w:r>
      <w:r w:rsidRPr="000630B5" w:rsidR="00E64F10">
        <w:rPr>
          <w:i/>
        </w:rPr>
        <w:t>AS</w:t>
      </w:r>
      <w:r w:rsidRPr="000630B5" w:rsidR="00E64F10">
        <w:t xml:space="preserve"> </w:t>
      </w:r>
      <w:r w:rsidRPr="000630B5">
        <w:t xml:space="preserve">apologised for three of its users having made comments with sexual content, directed at the applicant, but </w:t>
      </w:r>
      <w:r w:rsidRPr="000630B5" w:rsidR="00E64F10">
        <w:t xml:space="preserve">that </w:t>
      </w:r>
      <w:r w:rsidRPr="000630B5">
        <w:t xml:space="preserve">it did not </w:t>
      </w:r>
      <w:r w:rsidRPr="000630B5" w:rsidR="00DF3580">
        <w:t xml:space="preserve">consider </w:t>
      </w:r>
      <w:r w:rsidRPr="000630B5">
        <w:t xml:space="preserve">itself liable to pay </w:t>
      </w:r>
      <w:r w:rsidRPr="000630B5" w:rsidR="00E64F10">
        <w:t>compensation</w:t>
      </w:r>
      <w:r w:rsidRPr="000630B5">
        <w:t xml:space="preserve">. </w:t>
      </w:r>
      <w:r w:rsidRPr="000630B5" w:rsidR="00F8268E">
        <w:t>The three comments had had nothing to do with the company</w:t>
      </w:r>
      <w:r w:rsidRPr="000630B5" w:rsidR="000630B5">
        <w:t>’</w:t>
      </w:r>
      <w:r w:rsidRPr="000630B5" w:rsidR="00F8268E">
        <w:t xml:space="preserve">s journalistic work or editorial responsibility; they had not been uttered or produced by the company, nor had </w:t>
      </w:r>
      <w:r w:rsidRPr="000630B5" w:rsidR="00E64F10">
        <w:t>it</w:t>
      </w:r>
      <w:r w:rsidRPr="000630B5" w:rsidR="00F8268E">
        <w:t xml:space="preserve"> authorised them for publication. Furthermore, the comments in question had not been defamatory and had been removed as soon as the company </w:t>
      </w:r>
      <w:r w:rsidRPr="000630B5" w:rsidR="00DF3580">
        <w:t xml:space="preserve">had become </w:t>
      </w:r>
      <w:r w:rsidRPr="000630B5" w:rsidR="00F8268E">
        <w:t xml:space="preserve">aware of them. Although the company did not </w:t>
      </w:r>
      <w:r w:rsidRPr="000630B5" w:rsidR="00DF3580">
        <w:t>consider itself legally liable</w:t>
      </w:r>
      <w:r w:rsidRPr="000630B5" w:rsidR="00F8268E">
        <w:t xml:space="preserve">, it offered the applicant NOK 10,000 (today approximately EUR 1,000) for the inconvenience she had </w:t>
      </w:r>
      <w:r w:rsidRPr="000630B5" w:rsidR="00DF3580">
        <w:t>suffered because of</w:t>
      </w:r>
      <w:r w:rsidRPr="000630B5" w:rsidR="00F8268E">
        <w:t xml:space="preserve"> the comments.</w:t>
      </w:r>
    </w:p>
    <w:p w:rsidRPr="000630B5" w:rsidR="00C82108" w:rsidP="000630B5" w:rsidRDefault="001C253F">
      <w:pPr>
        <w:pStyle w:val="ECHRHeading2"/>
        <w:spacing w:before="300"/>
      </w:pPr>
      <w:r w:rsidRPr="000630B5">
        <w:t>B</w:t>
      </w:r>
      <w:r w:rsidRPr="000630B5" w:rsidR="00C82108">
        <w:t>.  Proceedings before the City Court</w:t>
      </w:r>
    </w:p>
    <w:p w:rsidRPr="000630B5" w:rsidR="00C82108"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22</w:t>
      </w:r>
      <w:r w:rsidRPr="000630B5">
        <w:fldChar w:fldCharType="end"/>
      </w:r>
      <w:r w:rsidRPr="000630B5">
        <w:t xml:space="preserve">.  On 4 May 2011 the applicant instigated civil proceedings before the Oslo City Court </w:t>
      </w:r>
      <w:r w:rsidRPr="000630B5" w:rsidR="009E52A6">
        <w:t>(</w:t>
      </w:r>
      <w:r w:rsidRPr="000630B5" w:rsidR="009E52A6">
        <w:rPr>
          <w:i/>
        </w:rPr>
        <w:t>tingrett</w:t>
      </w:r>
      <w:r w:rsidRPr="000630B5" w:rsidR="009E52A6">
        <w:t xml:space="preserve">) </w:t>
      </w:r>
      <w:r w:rsidRPr="000630B5">
        <w:t xml:space="preserve">against </w:t>
      </w:r>
      <w:r w:rsidRPr="000630B5">
        <w:rPr>
          <w:i/>
        </w:rPr>
        <w:t>Hegnar Media</w:t>
      </w:r>
      <w:r w:rsidRPr="000630B5" w:rsidR="0096538B">
        <w:rPr>
          <w:i/>
        </w:rPr>
        <w:t xml:space="preserve"> AS</w:t>
      </w:r>
      <w:r w:rsidRPr="000630B5">
        <w:t xml:space="preserve"> and the </w:t>
      </w:r>
      <w:r w:rsidRPr="000630B5" w:rsidR="0096538B">
        <w:t>editor, Mr H., for defamation. As previous</w:t>
      </w:r>
      <w:r w:rsidRPr="000630B5" w:rsidR="007C2925">
        <w:t xml:space="preserve">ly </w:t>
      </w:r>
      <w:r w:rsidRPr="000630B5" w:rsidR="00A42CFE">
        <w:t xml:space="preserve">stated </w:t>
      </w:r>
      <w:r w:rsidRPr="000630B5" w:rsidR="00E64F10">
        <w:t xml:space="preserve">in the letter to </w:t>
      </w:r>
      <w:r w:rsidRPr="000630B5" w:rsidR="00E64F10">
        <w:rPr>
          <w:i/>
        </w:rPr>
        <w:t>Hegnar Online</w:t>
      </w:r>
      <w:r w:rsidRPr="000630B5" w:rsidR="00E64F10">
        <w:t xml:space="preserve"> </w:t>
      </w:r>
      <w:r w:rsidRPr="000630B5" w:rsidR="007C2925">
        <w:t xml:space="preserve">(see paragraph </w:t>
      </w:r>
      <w:r w:rsidRPr="000630B5" w:rsidR="0057019C">
        <w:t>20</w:t>
      </w:r>
      <w:r w:rsidRPr="000630B5" w:rsidR="0096538B">
        <w:t xml:space="preserve"> above), s</w:t>
      </w:r>
      <w:r w:rsidRPr="000630B5">
        <w:t>he claimed that her honour had been infringed because of comment</w:t>
      </w:r>
      <w:r w:rsidRPr="000630B5" w:rsidR="00934D22">
        <w:t>s</w:t>
      </w:r>
      <w:r w:rsidRPr="000630B5" w:rsidR="0072179A">
        <w:t xml:space="preserve"> 1 to </w:t>
      </w:r>
      <w:r w:rsidRPr="000630B5">
        <w:t>3 and that she was therefore entitled to redress.</w:t>
      </w:r>
      <w:r w:rsidRPr="000630B5" w:rsidR="0096538B">
        <w:t xml:space="preserve"> She </w:t>
      </w:r>
      <w:r w:rsidRPr="000630B5" w:rsidR="003E694E">
        <w:t>maintained</w:t>
      </w:r>
      <w:r w:rsidRPr="000630B5" w:rsidR="0096538B">
        <w:t xml:space="preserve">, </w:t>
      </w:r>
      <w:r w:rsidRPr="000630B5" w:rsidR="0096538B">
        <w:rPr>
          <w:i/>
        </w:rPr>
        <w:t>inter alia</w:t>
      </w:r>
      <w:r w:rsidRPr="000630B5" w:rsidR="0096538B">
        <w:t>, that the conclusion of the Press Complaints Commission (see paragraph</w:t>
      </w:r>
      <w:r w:rsidRPr="000630B5" w:rsidR="007C2925">
        <w:t xml:space="preserve"> </w:t>
      </w:r>
      <w:r w:rsidRPr="000630B5" w:rsidR="0057019C">
        <w:t>19</w:t>
      </w:r>
      <w:r w:rsidRPr="000630B5" w:rsidR="007C2925">
        <w:t xml:space="preserve"> above)</w:t>
      </w:r>
      <w:r w:rsidRPr="000630B5" w:rsidR="0096538B">
        <w:t xml:space="preserve"> </w:t>
      </w:r>
      <w:r w:rsidRPr="000630B5" w:rsidR="003E694E">
        <w:t>supported her argument t</w:t>
      </w:r>
      <w:r w:rsidRPr="000630B5" w:rsidR="0096538B">
        <w:t>hat the defendants had exactly the same editorial responsibility for the comments as if they had been letters from readers printed in a newspaper.</w:t>
      </w:r>
    </w:p>
    <w:p w:rsidRPr="000630B5" w:rsidR="002C1A63" w:rsidP="000630B5" w:rsidRDefault="007C2925">
      <w:pPr>
        <w:pStyle w:val="ECHRPara"/>
      </w:pPr>
      <w:r w:rsidRPr="000630B5">
        <w:fldChar w:fldCharType="begin"/>
      </w:r>
      <w:r w:rsidRPr="000630B5">
        <w:instrText xml:space="preserve"> SEQ level0 \*arabic </w:instrText>
      </w:r>
      <w:r w:rsidRPr="000630B5">
        <w:fldChar w:fldCharType="separate"/>
      </w:r>
      <w:r w:rsidRPr="000630B5" w:rsidR="000630B5">
        <w:rPr>
          <w:noProof/>
        </w:rPr>
        <w:t>23</w:t>
      </w:r>
      <w:r w:rsidRPr="000630B5">
        <w:fldChar w:fldCharType="end"/>
      </w:r>
      <w:r w:rsidRPr="000630B5">
        <w:t>.  </w:t>
      </w:r>
      <w:r w:rsidRPr="000630B5" w:rsidR="002C1A63">
        <w:t xml:space="preserve">The City Court heard the case from 19 to 20 December 2011. The parties attended with their </w:t>
      </w:r>
      <w:r w:rsidRPr="000630B5" w:rsidR="00711904">
        <w:t>counsel</w:t>
      </w:r>
      <w:r w:rsidRPr="000630B5" w:rsidR="002C1A63">
        <w:t xml:space="preserve"> and one witness was heard. </w:t>
      </w:r>
      <w:r w:rsidRPr="000630B5" w:rsidR="00EF1CF5">
        <w:t>During the proceedings</w:t>
      </w:r>
      <w:r w:rsidRPr="000630B5" w:rsidR="00A42CFE">
        <w:t xml:space="preserve"> </w:t>
      </w:r>
      <w:r w:rsidRPr="000630B5" w:rsidR="002C1A63">
        <w:t xml:space="preserve">the applicant invoked Articles 246 and 247 of the </w:t>
      </w:r>
      <w:r w:rsidRPr="000630B5" w:rsidR="00424E43">
        <w:t>Penal</w:t>
      </w:r>
      <w:r w:rsidRPr="000630B5" w:rsidR="002C1A63">
        <w:t xml:space="preserve"> Code (see paragraph </w:t>
      </w:r>
      <w:r w:rsidRPr="000630B5" w:rsidR="00DB2752">
        <w:t>43</w:t>
      </w:r>
      <w:r w:rsidRPr="000630B5" w:rsidR="002C1A63">
        <w:t xml:space="preserve"> below), in conjunction with section 3-6 of the Compensation Act (see paragraph </w:t>
      </w:r>
      <w:r w:rsidRPr="000630B5" w:rsidR="00DB2752">
        <w:t>44</w:t>
      </w:r>
      <w:r w:rsidRPr="000630B5" w:rsidR="002C1A63">
        <w:t xml:space="preserve"> below). The defendants argued principally that the situation at hand was governed by section 18 of the</w:t>
      </w:r>
      <w:r w:rsidRPr="000630B5" w:rsidR="00EA3C01">
        <w:t xml:space="preserve"> E-</w:t>
      </w:r>
      <w:r w:rsidRPr="000630B5" w:rsidR="00591338">
        <w:t>Commerce</w:t>
      </w:r>
      <w:r w:rsidRPr="000630B5" w:rsidR="002C1A63">
        <w:t xml:space="preserve"> Act (see paragraph </w:t>
      </w:r>
      <w:r w:rsidRPr="000630B5" w:rsidR="00DB2752">
        <w:t>45</w:t>
      </w:r>
      <w:r w:rsidRPr="000630B5" w:rsidR="002C1A63">
        <w:t xml:space="preserve"> below). They also maintained that Articles 246 and 247 of the </w:t>
      </w:r>
      <w:r w:rsidRPr="000630B5" w:rsidR="00424E43">
        <w:t>Penal</w:t>
      </w:r>
      <w:r w:rsidRPr="000630B5" w:rsidR="002C1A63">
        <w:t xml:space="preserve"> Code were inapplicable since they required intent</w:t>
      </w:r>
      <w:r w:rsidRPr="000630B5">
        <w:t xml:space="preserve"> (</w:t>
      </w:r>
      <w:r w:rsidRPr="000630B5">
        <w:rPr>
          <w:i/>
        </w:rPr>
        <w:t>forsett</w:t>
      </w:r>
      <w:r w:rsidRPr="000630B5">
        <w:t>)</w:t>
      </w:r>
      <w:r w:rsidRPr="000630B5" w:rsidR="001517C4">
        <w:t xml:space="preserve"> </w:t>
      </w:r>
      <w:r w:rsidRPr="000630B5" w:rsidR="00A42CFE">
        <w:t xml:space="preserve">on the part of </w:t>
      </w:r>
      <w:r w:rsidRPr="000630B5" w:rsidR="001517C4">
        <w:t>the</w:t>
      </w:r>
      <w:r w:rsidRPr="000630B5" w:rsidR="00E85348">
        <w:t xml:space="preserve"> wrongdoer</w:t>
      </w:r>
      <w:r w:rsidRPr="000630B5" w:rsidR="00A42CFE">
        <w:t>. In the case at hand</w:t>
      </w:r>
      <w:r w:rsidRPr="000630B5" w:rsidR="002C1A63">
        <w:t xml:space="preserve"> </w:t>
      </w:r>
      <w:r w:rsidRPr="000630B5" w:rsidR="00A42CFE">
        <w:t xml:space="preserve">the defendants had not even been aware of </w:t>
      </w:r>
      <w:r w:rsidRPr="000630B5" w:rsidR="002C1A63">
        <w:t xml:space="preserve">the comments in question, and the principles relating to editorial responsibility were in any event irrelevant. </w:t>
      </w:r>
      <w:r w:rsidRPr="000630B5" w:rsidR="0083150C">
        <w:t xml:space="preserve">In any case, editorial responsibility could not apply to the situation before the editor </w:t>
      </w:r>
      <w:r w:rsidRPr="000630B5" w:rsidR="00A42CFE">
        <w:t xml:space="preserve">had become aware </w:t>
      </w:r>
      <w:r w:rsidRPr="000630B5" w:rsidR="0083150C">
        <w:t xml:space="preserve">of the comments, and </w:t>
      </w:r>
      <w:r w:rsidRPr="000630B5" w:rsidR="00424E43">
        <w:t xml:space="preserve">in the instant case </w:t>
      </w:r>
      <w:r w:rsidRPr="000630B5" w:rsidR="0083150C">
        <w:t xml:space="preserve">they had been removed as soon as </w:t>
      </w:r>
      <w:r w:rsidRPr="000630B5" w:rsidR="001517C4">
        <w:t>Mr H</w:t>
      </w:r>
      <w:r w:rsidRPr="000630B5" w:rsidR="0072179A">
        <w:t>.</w:t>
      </w:r>
      <w:r w:rsidRPr="000630B5" w:rsidR="00A42CFE">
        <w:t xml:space="preserve"> had become aware of them</w:t>
      </w:r>
      <w:r w:rsidRPr="000630B5" w:rsidR="0083150C">
        <w:t>.</w:t>
      </w:r>
    </w:p>
    <w:p w:rsidRPr="000630B5" w:rsidR="00C82108"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24</w:t>
      </w:r>
      <w:r w:rsidRPr="000630B5">
        <w:fldChar w:fldCharType="end"/>
      </w:r>
      <w:r w:rsidRPr="000630B5">
        <w:t xml:space="preserve">.  On 4 January 2012 the Oslo City Court ruled in favour of the defendants. </w:t>
      </w:r>
      <w:r w:rsidRPr="000630B5" w:rsidR="001517C4">
        <w:t>It</w:t>
      </w:r>
      <w:r w:rsidRPr="000630B5">
        <w:t xml:space="preserve"> considered that the three comments had not amounted to unlawful defamation as they </w:t>
      </w:r>
      <w:r w:rsidRPr="000630B5" w:rsidR="00E42967">
        <w:t xml:space="preserve">had been </w:t>
      </w:r>
      <w:r w:rsidRPr="000630B5" w:rsidR="0099641D">
        <w:t>in</w:t>
      </w:r>
      <w:r w:rsidRPr="000630B5" w:rsidR="00406D59">
        <w:t>capable of offending</w:t>
      </w:r>
      <w:r w:rsidRPr="000630B5">
        <w:t xml:space="preserve"> either the applicant</w:t>
      </w:r>
      <w:r w:rsidRPr="000630B5" w:rsidR="000630B5">
        <w:t>’</w:t>
      </w:r>
      <w:r w:rsidRPr="000630B5" w:rsidR="00406D59">
        <w:t>s honour</w:t>
      </w:r>
      <w:r w:rsidRPr="000630B5" w:rsidR="0099641D">
        <w:t xml:space="preserve"> </w:t>
      </w:r>
      <w:r w:rsidRPr="000630B5">
        <w:t>or reputation.</w:t>
      </w:r>
    </w:p>
    <w:p w:rsidRPr="000630B5" w:rsidR="00C82108"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25</w:t>
      </w:r>
      <w:r w:rsidRPr="000630B5">
        <w:fldChar w:fldCharType="end"/>
      </w:r>
      <w:r w:rsidRPr="000630B5">
        <w:t xml:space="preserve">.  As to comment 1, the City Court noted that the comment </w:t>
      </w:r>
      <w:r w:rsidRPr="000630B5" w:rsidR="00E42967">
        <w:t xml:space="preserve">had been </w:t>
      </w:r>
      <w:r w:rsidRPr="000630B5">
        <w:t xml:space="preserve">tasteless and vulgar, but </w:t>
      </w:r>
      <w:r w:rsidRPr="000630B5" w:rsidR="00E42967">
        <w:t xml:space="preserve">had </w:t>
      </w:r>
      <w:r w:rsidRPr="000630B5">
        <w:t xml:space="preserve">not in itself </w:t>
      </w:r>
      <w:r w:rsidRPr="000630B5" w:rsidR="00E42967">
        <w:t xml:space="preserve">been </w:t>
      </w:r>
      <w:r w:rsidRPr="000630B5">
        <w:t>an accusation (</w:t>
      </w:r>
      <w:r w:rsidRPr="000630B5">
        <w:rPr>
          <w:i/>
        </w:rPr>
        <w:t>beskyldning</w:t>
      </w:r>
      <w:r w:rsidRPr="000630B5">
        <w:t>) of promiscuity or some sort of immoral behaviour. In the City Court</w:t>
      </w:r>
      <w:r w:rsidRPr="000630B5" w:rsidR="000630B5">
        <w:t>’</w:t>
      </w:r>
      <w:r w:rsidRPr="000630B5">
        <w:t xml:space="preserve">s view, it could not harm </w:t>
      </w:r>
      <w:r w:rsidRPr="000630B5" w:rsidR="001E20A0">
        <w:t>the applicant</w:t>
      </w:r>
      <w:r w:rsidRPr="000630B5" w:rsidR="000630B5">
        <w:t>’</w:t>
      </w:r>
      <w:r w:rsidRPr="000630B5" w:rsidR="001E20A0">
        <w:t xml:space="preserve">s </w:t>
      </w:r>
      <w:r w:rsidRPr="000630B5">
        <w:t>reputation (</w:t>
      </w:r>
      <w:r w:rsidRPr="000630B5">
        <w:rPr>
          <w:i/>
        </w:rPr>
        <w:t>omdømme</w:t>
      </w:r>
      <w:r w:rsidRPr="000630B5" w:rsidR="00EA3C01">
        <w:t>) under Article </w:t>
      </w:r>
      <w:r w:rsidRPr="000630B5">
        <w:t xml:space="preserve">247 of the Penal Code (see paragraph </w:t>
      </w:r>
      <w:r w:rsidRPr="000630B5" w:rsidR="0057019C">
        <w:t>43</w:t>
      </w:r>
      <w:r w:rsidRPr="000630B5">
        <w:t xml:space="preserve"> below). </w:t>
      </w:r>
      <w:r w:rsidRPr="000630B5" w:rsidR="001E20A0">
        <w:t xml:space="preserve">Furthermore, it </w:t>
      </w:r>
      <w:r w:rsidRPr="000630B5" w:rsidR="00E42967">
        <w:t xml:space="preserve">had </w:t>
      </w:r>
      <w:r w:rsidRPr="000630B5" w:rsidR="001E20A0">
        <w:t xml:space="preserve">not </w:t>
      </w:r>
      <w:r w:rsidRPr="000630B5">
        <w:t>express</w:t>
      </w:r>
      <w:r w:rsidRPr="000630B5" w:rsidR="00E42967">
        <w:t>ed</w:t>
      </w:r>
      <w:r w:rsidRPr="000630B5">
        <w:t xml:space="preserve"> disdain or disapproval of </w:t>
      </w:r>
      <w:r w:rsidRPr="000630B5" w:rsidR="001E20A0">
        <w:t>her</w:t>
      </w:r>
      <w:r w:rsidRPr="000630B5">
        <w:t xml:space="preserve">, </w:t>
      </w:r>
      <w:r w:rsidRPr="000630B5" w:rsidR="001E20A0">
        <w:t>so</w:t>
      </w:r>
      <w:r w:rsidRPr="000630B5">
        <w:t xml:space="preserve"> could</w:t>
      </w:r>
      <w:r w:rsidRPr="000630B5" w:rsidR="001E20A0">
        <w:t xml:space="preserve"> not</w:t>
      </w:r>
      <w:r w:rsidRPr="000630B5">
        <w:t xml:space="preserve"> harm her honour (</w:t>
      </w:r>
      <w:r w:rsidRPr="000630B5">
        <w:rPr>
          <w:i/>
        </w:rPr>
        <w:t>æresfølelse</w:t>
      </w:r>
      <w:r w:rsidRPr="000630B5">
        <w:t>) under Article 246 of the Penal Code (</w:t>
      </w:r>
      <w:r w:rsidRPr="000630B5" w:rsidR="0057019C">
        <w:t>ibid.</w:t>
      </w:r>
      <w:r w:rsidRPr="000630B5">
        <w:t>).</w:t>
      </w:r>
    </w:p>
    <w:p w:rsidRPr="000630B5" w:rsidR="00C82108"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26</w:t>
      </w:r>
      <w:r w:rsidRPr="000630B5">
        <w:fldChar w:fldCharType="end"/>
      </w:r>
      <w:r w:rsidRPr="000630B5" w:rsidR="00934D22">
        <w:t xml:space="preserve">.  With respect to </w:t>
      </w:r>
      <w:r w:rsidRPr="000630B5">
        <w:t xml:space="preserve">comment 2, the City Court </w:t>
      </w:r>
      <w:r w:rsidRPr="000630B5" w:rsidR="001E20A0">
        <w:t xml:space="preserve">again </w:t>
      </w:r>
      <w:r w:rsidRPr="000630B5">
        <w:t xml:space="preserve">found that it </w:t>
      </w:r>
      <w:r w:rsidRPr="000630B5" w:rsidR="00E42967">
        <w:t xml:space="preserve">had been </w:t>
      </w:r>
      <w:r w:rsidRPr="000630B5">
        <w:t xml:space="preserve">tasteless and </w:t>
      </w:r>
      <w:r w:rsidRPr="000630B5" w:rsidR="0053739E">
        <w:t>“</w:t>
      </w:r>
      <w:r w:rsidRPr="000630B5">
        <w:t>unserious</w:t>
      </w:r>
      <w:r w:rsidRPr="000630B5" w:rsidR="0053739E">
        <w:t>”</w:t>
      </w:r>
      <w:r w:rsidRPr="000630B5">
        <w:t>. An anonymous comment of this sort could</w:t>
      </w:r>
      <w:r w:rsidRPr="000630B5" w:rsidR="00E85348">
        <w:t xml:space="preserve"> not</w:t>
      </w:r>
      <w:r w:rsidRPr="000630B5">
        <w:t xml:space="preserve">, </w:t>
      </w:r>
      <w:r w:rsidRPr="000630B5" w:rsidR="00E85348">
        <w:t xml:space="preserve">however, </w:t>
      </w:r>
      <w:r w:rsidRPr="000630B5">
        <w:t>harm the applicant</w:t>
      </w:r>
      <w:r w:rsidRPr="000630B5" w:rsidR="000630B5">
        <w:t>’</w:t>
      </w:r>
      <w:r w:rsidRPr="000630B5">
        <w:t>s reputation or honour. It might be considered</w:t>
      </w:r>
      <w:r w:rsidRPr="000630B5" w:rsidR="00396826">
        <w:t xml:space="preserve"> to be</w:t>
      </w:r>
      <w:r w:rsidRPr="000630B5">
        <w:t xml:space="preserve"> ridicule, but had not exceeded the threshold over which ridicule would be unlawful. The City Court also had regard to the fact that “Theme of the day” </w:t>
      </w:r>
      <w:r w:rsidRPr="000630B5" w:rsidR="00E42967">
        <w:t>was</w:t>
      </w:r>
      <w:r w:rsidRPr="000630B5">
        <w:t xml:space="preserve"> a marginal forum frequented mostly by anonymous </w:t>
      </w:r>
      <w:r w:rsidRPr="000630B5" w:rsidR="00E42967">
        <w:t>people</w:t>
      </w:r>
      <w:r w:rsidRPr="000630B5">
        <w:t xml:space="preserve">. </w:t>
      </w:r>
      <w:r w:rsidRPr="000630B5" w:rsidR="00E42967">
        <w:t>It</w:t>
      </w:r>
      <w:r w:rsidRPr="000630B5">
        <w:t xml:space="preserve"> was generally unserious and, according to the City Court, most readers would find that the comments said more about those posting them than about the </w:t>
      </w:r>
      <w:r w:rsidRPr="000630B5" w:rsidR="00E42967">
        <w:t xml:space="preserve">people </w:t>
      </w:r>
      <w:r w:rsidRPr="000630B5">
        <w:t xml:space="preserve">mentioned in the comments. </w:t>
      </w:r>
      <w:r w:rsidRPr="000630B5" w:rsidR="00B658FA">
        <w:t xml:space="preserve">The City Court expressed that it </w:t>
      </w:r>
      <w:r w:rsidRPr="000630B5" w:rsidR="00E85348">
        <w:t xml:space="preserve">completely </w:t>
      </w:r>
      <w:r w:rsidRPr="000630B5" w:rsidR="00B658FA">
        <w:t xml:space="preserve">understood that the applicant found it unpleasant that anonymous persons </w:t>
      </w:r>
      <w:r w:rsidRPr="000630B5" w:rsidR="00E42967">
        <w:t xml:space="preserve">had </w:t>
      </w:r>
      <w:r w:rsidRPr="000630B5" w:rsidR="00B658FA">
        <w:t xml:space="preserve">posted “sleazy” remarks about her on the Internet. </w:t>
      </w:r>
      <w:r w:rsidRPr="000630B5" w:rsidR="00E85348">
        <w:t>However</w:t>
      </w:r>
      <w:r w:rsidRPr="000630B5" w:rsidR="00B658FA">
        <w:t>, b</w:t>
      </w:r>
      <w:r w:rsidRPr="000630B5">
        <w:t xml:space="preserve">ased on an overall assessment, the City Court concluded that </w:t>
      </w:r>
      <w:r w:rsidRPr="000630B5" w:rsidR="00934D22">
        <w:t>comment 2</w:t>
      </w:r>
      <w:r w:rsidRPr="000630B5">
        <w:t>, either alone or</w:t>
      </w:r>
      <w:r w:rsidRPr="000630B5" w:rsidR="00934D22">
        <w:t xml:space="preserve"> in conjunction with comment 1</w:t>
      </w:r>
      <w:r w:rsidRPr="000630B5">
        <w:t xml:space="preserve">, </w:t>
      </w:r>
      <w:r w:rsidRPr="000630B5" w:rsidR="00E42967">
        <w:t xml:space="preserve">had </w:t>
      </w:r>
      <w:r w:rsidRPr="000630B5" w:rsidR="0053739E">
        <w:t xml:space="preserve">not </w:t>
      </w:r>
      <w:r w:rsidRPr="000630B5" w:rsidR="00E42967">
        <w:t xml:space="preserve">been </w:t>
      </w:r>
      <w:r w:rsidRPr="000630B5">
        <w:t>capable of harming the applicant</w:t>
      </w:r>
      <w:r w:rsidRPr="000630B5" w:rsidR="000630B5">
        <w:t>’</w:t>
      </w:r>
      <w:r w:rsidRPr="000630B5">
        <w:t>s honour.</w:t>
      </w:r>
    </w:p>
    <w:p w:rsidRPr="000630B5" w:rsidR="00C82108"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27</w:t>
      </w:r>
      <w:r w:rsidRPr="000630B5">
        <w:fldChar w:fldCharType="end"/>
      </w:r>
      <w:r w:rsidRPr="000630B5">
        <w:t>.  Tur</w:t>
      </w:r>
      <w:r w:rsidRPr="000630B5" w:rsidR="00934D22">
        <w:t xml:space="preserve">ning to </w:t>
      </w:r>
      <w:r w:rsidRPr="000630B5">
        <w:t xml:space="preserve">comment 3, the City Court said that this </w:t>
      </w:r>
      <w:r w:rsidRPr="000630B5" w:rsidR="00CD7093">
        <w:t xml:space="preserve">was again a comment that most people would consider </w:t>
      </w:r>
      <w:r w:rsidRPr="000630B5" w:rsidR="006C732E">
        <w:t>inappropriate</w:t>
      </w:r>
      <w:r w:rsidRPr="000630B5" w:rsidR="00CD7093">
        <w:t>, tasteless and vulgar. It</w:t>
      </w:r>
      <w:r w:rsidRPr="000630B5">
        <w:t xml:space="preserve"> had to be interpreted as an allegation that the applicant had </w:t>
      </w:r>
      <w:r w:rsidRPr="000630B5" w:rsidR="008D0AC9">
        <w:t xml:space="preserve">had </w:t>
      </w:r>
      <w:r w:rsidRPr="000630B5">
        <w:t xml:space="preserve">a sexual relationship with a person nicknamed </w:t>
      </w:r>
      <w:r w:rsidRPr="000630B5">
        <w:rPr>
          <w:i/>
        </w:rPr>
        <w:t>trønderbjørn</w:t>
      </w:r>
      <w:r w:rsidRPr="000630B5">
        <w:t xml:space="preserve">. </w:t>
      </w:r>
      <w:r w:rsidRPr="000630B5" w:rsidR="001517C4">
        <w:t xml:space="preserve">No further information about who or what kind of person </w:t>
      </w:r>
      <w:r w:rsidRPr="000630B5" w:rsidR="00E42967">
        <w:t xml:space="preserve">that </w:t>
      </w:r>
      <w:r w:rsidRPr="000630B5" w:rsidR="001517C4">
        <w:t xml:space="preserve">might be had been given either in the forum or during the civil case. </w:t>
      </w:r>
      <w:r w:rsidRPr="000630B5" w:rsidR="00B15031">
        <w:t xml:space="preserve">The court found that an anonymous comment indicating that the applicant had had a sexual relationship with an unidentified person </w:t>
      </w:r>
      <w:r w:rsidRPr="000630B5">
        <w:t>could not harm the applicant</w:t>
      </w:r>
      <w:r w:rsidRPr="000630B5" w:rsidR="000630B5">
        <w:t>’</w:t>
      </w:r>
      <w:r w:rsidRPr="000630B5">
        <w:t xml:space="preserve">s reputation or honour. There </w:t>
      </w:r>
      <w:r w:rsidRPr="000630B5" w:rsidR="00E42967">
        <w:t xml:space="preserve">had been </w:t>
      </w:r>
      <w:r w:rsidRPr="000630B5">
        <w:t>no</w:t>
      </w:r>
      <w:r w:rsidRPr="000630B5" w:rsidR="00D22CBA">
        <w:t xml:space="preserve">thing </w:t>
      </w:r>
      <w:r w:rsidRPr="000630B5" w:rsidR="0072179A">
        <w:t xml:space="preserve">expressly </w:t>
      </w:r>
      <w:r w:rsidRPr="000630B5" w:rsidR="00984F29">
        <w:t>negative in the comment. Moreover,</w:t>
      </w:r>
      <w:r w:rsidRPr="000630B5" w:rsidR="00B15031">
        <w:t xml:space="preserve"> s</w:t>
      </w:r>
      <w:r w:rsidRPr="000630B5">
        <w:t xml:space="preserve">ince the writer </w:t>
      </w:r>
      <w:r w:rsidRPr="000630B5" w:rsidR="00E42967">
        <w:t xml:space="preserve">had been </w:t>
      </w:r>
      <w:r w:rsidRPr="000630B5">
        <w:t xml:space="preserve">anonymous there </w:t>
      </w:r>
      <w:r w:rsidRPr="000630B5" w:rsidR="00E42967">
        <w:t xml:space="preserve">had been </w:t>
      </w:r>
      <w:r w:rsidRPr="000630B5">
        <w:t xml:space="preserve">no reason to take </w:t>
      </w:r>
      <w:r w:rsidRPr="000630B5" w:rsidR="00B15031">
        <w:t>him or her</w:t>
      </w:r>
      <w:r w:rsidRPr="000630B5">
        <w:t xml:space="preserve"> seriously.</w:t>
      </w:r>
    </w:p>
    <w:p w:rsidRPr="000630B5" w:rsidR="00C82108"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28</w:t>
      </w:r>
      <w:r w:rsidRPr="000630B5">
        <w:fldChar w:fldCharType="end"/>
      </w:r>
      <w:r w:rsidRPr="000630B5">
        <w:t xml:space="preserve">.  The City Court also made an overall assessment of the three comments viewed as a whole, but found that they still </w:t>
      </w:r>
      <w:r w:rsidRPr="000630B5" w:rsidR="00E42967">
        <w:t xml:space="preserve">had </w:t>
      </w:r>
      <w:r w:rsidRPr="000630B5">
        <w:t>not amount</w:t>
      </w:r>
      <w:r w:rsidRPr="000630B5" w:rsidR="00E42967">
        <w:t>ed</w:t>
      </w:r>
      <w:r w:rsidRPr="000630B5">
        <w:t xml:space="preserve"> to unlawful defamation.</w:t>
      </w:r>
      <w:r w:rsidRPr="000630B5" w:rsidR="009A2C9F">
        <w:t xml:space="preserve"> It remarked that several of the other comments in the forum threads in question, that the applicant had not complained about, could possibly be defamatory, as had also been indicated by the defendants</w:t>
      </w:r>
      <w:r w:rsidRPr="000630B5" w:rsidR="00406D59">
        <w:t xml:space="preserve"> </w:t>
      </w:r>
      <w:r w:rsidRPr="000630B5" w:rsidR="00E85348">
        <w:t xml:space="preserve">briefly </w:t>
      </w:r>
      <w:r w:rsidRPr="000630B5" w:rsidR="00406D59">
        <w:t>during the hearing</w:t>
      </w:r>
      <w:r w:rsidRPr="000630B5" w:rsidR="009A2C9F">
        <w:t>, but since the applicant had not complained about any other comments, the City Court could not decide on their lawfulness.</w:t>
      </w:r>
    </w:p>
    <w:p w:rsidRPr="000630B5" w:rsidR="00C82108"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29</w:t>
      </w:r>
      <w:r w:rsidRPr="000630B5">
        <w:fldChar w:fldCharType="end"/>
      </w:r>
      <w:r w:rsidRPr="000630B5">
        <w:t xml:space="preserve">.  The applicant was ordered to </w:t>
      </w:r>
      <w:r w:rsidRPr="000630B5" w:rsidR="00E42967">
        <w:t>pay</w:t>
      </w:r>
      <w:r w:rsidRPr="000630B5">
        <w:t xml:space="preserve"> </w:t>
      </w:r>
      <w:r w:rsidRPr="000630B5" w:rsidR="00406D59">
        <w:t>the defendants</w:t>
      </w:r>
      <w:r w:rsidRPr="000630B5" w:rsidR="000630B5">
        <w:t>’</w:t>
      </w:r>
      <w:r w:rsidRPr="000630B5" w:rsidR="00406D59">
        <w:t xml:space="preserve"> </w:t>
      </w:r>
      <w:r w:rsidRPr="000630B5">
        <w:t>litigation costs of 225,480 Norwegian kroner (NOK</w:t>
      </w:r>
      <w:r w:rsidRPr="000630B5" w:rsidR="00E42967">
        <w:t xml:space="preserve"> </w:t>
      </w:r>
      <w:r w:rsidRPr="000630B5" w:rsidR="00937920">
        <w:t xml:space="preserve">- </w:t>
      </w:r>
      <w:r w:rsidRPr="000630B5">
        <w:t xml:space="preserve">approximately 24,650 euros (EUR)). </w:t>
      </w:r>
      <w:r w:rsidRPr="000630B5" w:rsidR="00365108">
        <w:t xml:space="preserve">The City Court stated that it </w:t>
      </w:r>
      <w:r w:rsidRPr="000630B5" w:rsidR="00E85348">
        <w:t>was</w:t>
      </w:r>
      <w:r w:rsidRPr="000630B5" w:rsidR="00365108">
        <w:t xml:space="preserve"> in</w:t>
      </w:r>
      <w:r w:rsidRPr="000630B5" w:rsidR="00E85348">
        <w:t xml:space="preserve"> no</w:t>
      </w:r>
      <w:r w:rsidRPr="000630B5" w:rsidR="00365108">
        <w:t xml:space="preserve"> doubt as to the result of the case and noted that the applicant had turned down the defendant</w:t>
      </w:r>
      <w:r w:rsidRPr="000630B5" w:rsidR="000630B5">
        <w:t>’</w:t>
      </w:r>
      <w:r w:rsidRPr="000630B5" w:rsidR="00365108">
        <w:t xml:space="preserve">s offer of settlement (see paragraph </w:t>
      </w:r>
      <w:r w:rsidRPr="000630B5" w:rsidR="00DB2752">
        <w:t>21</w:t>
      </w:r>
      <w:r w:rsidRPr="000630B5" w:rsidR="00365108">
        <w:t xml:space="preserve"> above). </w:t>
      </w:r>
      <w:r w:rsidRPr="000630B5" w:rsidR="00EA3C01">
        <w:t>The defendants had claimed NOK </w:t>
      </w:r>
      <w:r w:rsidRPr="000630B5">
        <w:t xml:space="preserve">290,880 (approximately EUR 30,615), an amount which the City Court </w:t>
      </w:r>
      <w:r w:rsidRPr="000630B5" w:rsidR="000A35C6">
        <w:t xml:space="preserve">considered </w:t>
      </w:r>
      <w:r w:rsidRPr="000630B5">
        <w:t xml:space="preserve">exceeded what was reasonable and necessary </w:t>
      </w:r>
      <w:r w:rsidRPr="000630B5" w:rsidR="000A35C6">
        <w:t>under</w:t>
      </w:r>
      <w:r w:rsidRPr="000630B5">
        <w:t xml:space="preserve"> the relevant provisions of the Dispute Act (see paragraph </w:t>
      </w:r>
      <w:r w:rsidRPr="000630B5" w:rsidR="0057019C">
        <w:t>47</w:t>
      </w:r>
      <w:r w:rsidRPr="000630B5">
        <w:t xml:space="preserve"> below).</w:t>
      </w:r>
    </w:p>
    <w:p w:rsidRPr="000630B5" w:rsidR="00C82108" w:rsidP="000630B5" w:rsidRDefault="001C253F">
      <w:pPr>
        <w:pStyle w:val="ECHRHeading2"/>
        <w:spacing w:before="320"/>
      </w:pPr>
      <w:r w:rsidRPr="000630B5">
        <w:t>C</w:t>
      </w:r>
      <w:r w:rsidRPr="000630B5" w:rsidR="00C82108">
        <w:t>.  Proceedings before the High Court</w:t>
      </w:r>
    </w:p>
    <w:p w:rsidRPr="000630B5" w:rsidR="00C82108"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30</w:t>
      </w:r>
      <w:r w:rsidRPr="000630B5">
        <w:fldChar w:fldCharType="end"/>
      </w:r>
      <w:r w:rsidRPr="000630B5">
        <w:t>.  </w:t>
      </w:r>
      <w:r w:rsidRPr="000630B5" w:rsidR="000A35C6">
        <w:t>On 31 January 2012 t</w:t>
      </w:r>
      <w:r w:rsidRPr="000630B5">
        <w:t>he applicant appealed against the City Court</w:t>
      </w:r>
      <w:r w:rsidRPr="000630B5" w:rsidR="000630B5">
        <w:t>’</w:t>
      </w:r>
      <w:r w:rsidRPr="000630B5">
        <w:t>s judgment to the Borgarting High Court (</w:t>
      </w:r>
      <w:r w:rsidRPr="000630B5">
        <w:rPr>
          <w:i/>
        </w:rPr>
        <w:t>lagmannsrett</w:t>
      </w:r>
      <w:r w:rsidRPr="000630B5">
        <w:t xml:space="preserve">). Apart from maintaining that the </w:t>
      </w:r>
      <w:r w:rsidRPr="000630B5" w:rsidR="00984F29">
        <w:t xml:space="preserve">three </w:t>
      </w:r>
      <w:r w:rsidRPr="000630B5">
        <w:t xml:space="preserve">statements </w:t>
      </w:r>
      <w:r w:rsidRPr="000630B5" w:rsidR="00984F29">
        <w:t>(comments 1</w:t>
      </w:r>
      <w:r w:rsidRPr="000630B5" w:rsidR="000A35C6">
        <w:t xml:space="preserve"> to </w:t>
      </w:r>
      <w:r w:rsidRPr="000630B5" w:rsidR="00984F29">
        <w:t xml:space="preserve">3) </w:t>
      </w:r>
      <w:r w:rsidRPr="000630B5" w:rsidR="000A35C6">
        <w:t xml:space="preserve">had amounted to </w:t>
      </w:r>
      <w:r w:rsidRPr="000630B5">
        <w:t xml:space="preserve">unlawful defamation, she submitted that her right to </w:t>
      </w:r>
      <w:r w:rsidRPr="000630B5" w:rsidR="0072179A">
        <w:t>privacy</w:t>
      </w:r>
      <w:r w:rsidRPr="000630B5">
        <w:t xml:space="preserve"> (</w:t>
      </w:r>
      <w:r w:rsidRPr="000630B5">
        <w:rPr>
          <w:i/>
        </w:rPr>
        <w:t>privatlivets fred</w:t>
      </w:r>
      <w:r w:rsidRPr="000630B5">
        <w:t xml:space="preserve">) </w:t>
      </w:r>
      <w:r w:rsidRPr="000630B5" w:rsidR="00365108">
        <w:t xml:space="preserve">as enshrined in Article 390a of the Penal Code, </w:t>
      </w:r>
      <w:r w:rsidRPr="000630B5">
        <w:t xml:space="preserve">and her rights under </w:t>
      </w:r>
      <w:r w:rsidRPr="000630B5" w:rsidR="00F4373A">
        <w:t xml:space="preserve">the </w:t>
      </w:r>
      <w:r w:rsidRPr="000630B5">
        <w:t>general principles concerning the protection of personality (</w:t>
      </w:r>
      <w:r w:rsidRPr="000630B5">
        <w:rPr>
          <w:i/>
        </w:rPr>
        <w:t>det ulovfestede alminnelige rettsvern for personligheten</w:t>
      </w:r>
      <w:r w:rsidRPr="000630B5">
        <w:t>) had been breached. Moreover, she argued that the comments had been in breach</w:t>
      </w:r>
      <w:r w:rsidRPr="000630B5" w:rsidR="00365108">
        <w:t xml:space="preserve"> of section 8a of the Gender Equality Act and that </w:t>
      </w:r>
      <w:r w:rsidRPr="000630B5" w:rsidR="00905D91">
        <w:t xml:space="preserve">under </w:t>
      </w:r>
      <w:r w:rsidRPr="000630B5" w:rsidR="0053739E">
        <w:t>section 17 of that A</w:t>
      </w:r>
      <w:r w:rsidRPr="000630B5" w:rsidR="00E85348">
        <w:t xml:space="preserve">ct compensation </w:t>
      </w:r>
      <w:r w:rsidRPr="000630B5" w:rsidR="00905D91">
        <w:t xml:space="preserve">was payable </w:t>
      </w:r>
      <w:r w:rsidRPr="000630B5" w:rsidR="00365108">
        <w:t xml:space="preserve">(see paragraph </w:t>
      </w:r>
      <w:r w:rsidRPr="000630B5" w:rsidR="00DB2752">
        <w:t>46</w:t>
      </w:r>
      <w:r w:rsidRPr="000630B5" w:rsidR="00365108">
        <w:t xml:space="preserve"> below).</w:t>
      </w:r>
      <w:r w:rsidRPr="000630B5">
        <w:t xml:space="preserve"> Lastly, she submitted that the defendants had been </w:t>
      </w:r>
      <w:r w:rsidRPr="000630B5" w:rsidR="007B7985">
        <w:t xml:space="preserve">awarded </w:t>
      </w:r>
      <w:r w:rsidRPr="000630B5">
        <w:t>an amount of litigation costs exceeding what had been necessary.</w:t>
      </w:r>
    </w:p>
    <w:p w:rsidRPr="000630B5" w:rsidR="007C2532"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31</w:t>
      </w:r>
      <w:r w:rsidRPr="000630B5">
        <w:fldChar w:fldCharType="end"/>
      </w:r>
      <w:r w:rsidRPr="000630B5">
        <w:t>.  The High Court heard the case on 10 and 11 September 2013</w:t>
      </w:r>
      <w:r w:rsidRPr="000630B5" w:rsidR="00EA460C">
        <w:t xml:space="preserve">. The parties attended and gave evidence, and one witness was heard. The judgment was </w:t>
      </w:r>
      <w:r w:rsidRPr="000630B5">
        <w:t>delivered on 24 October 2013.</w:t>
      </w:r>
    </w:p>
    <w:p w:rsidRPr="000630B5" w:rsidR="00D6247B"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32</w:t>
      </w:r>
      <w:r w:rsidRPr="000630B5">
        <w:fldChar w:fldCharType="end"/>
      </w:r>
      <w:r w:rsidRPr="000630B5">
        <w:t>.  </w:t>
      </w:r>
      <w:r w:rsidRPr="000630B5" w:rsidR="00396826">
        <w:t>T</w:t>
      </w:r>
      <w:r w:rsidRPr="000630B5">
        <w:t xml:space="preserve">he </w:t>
      </w:r>
      <w:r w:rsidRPr="000630B5" w:rsidR="00D6247B">
        <w:t xml:space="preserve">High Court stated at the outset </w:t>
      </w:r>
      <w:r w:rsidRPr="000630B5" w:rsidR="00396826">
        <w:t xml:space="preserve">of the judgment </w:t>
      </w:r>
      <w:r w:rsidRPr="000630B5" w:rsidR="00D6247B">
        <w:t xml:space="preserve">that there had been </w:t>
      </w:r>
      <w:r w:rsidRPr="000630B5" w:rsidR="00F82250">
        <w:t xml:space="preserve">an </w:t>
      </w:r>
      <w:r w:rsidRPr="000630B5" w:rsidR="00AE4087">
        <w:t>extensive</w:t>
      </w:r>
      <w:r w:rsidRPr="000630B5" w:rsidR="00D6247B">
        <w:t xml:space="preserve"> coverage of the inheritance case </w:t>
      </w:r>
      <w:r w:rsidRPr="000630B5" w:rsidR="00D22CBA">
        <w:t xml:space="preserve">both </w:t>
      </w:r>
      <w:r w:rsidRPr="000630B5" w:rsidR="00D6247B">
        <w:t>by</w:t>
      </w:r>
      <w:r w:rsidRPr="000630B5" w:rsidR="00AE4087">
        <w:t xml:space="preserve"> </w:t>
      </w:r>
      <w:r w:rsidRPr="000630B5" w:rsidR="00D6247B">
        <w:t>the Hegnar Group and other</w:t>
      </w:r>
      <w:r w:rsidRPr="000630B5" w:rsidR="002D6EF1">
        <w:t xml:space="preserve"> media</w:t>
      </w:r>
      <w:r w:rsidRPr="000630B5" w:rsidR="00D6247B">
        <w:t>. Th</w:t>
      </w:r>
      <w:r w:rsidRPr="000630B5" w:rsidR="00396826">
        <w:t>e</w:t>
      </w:r>
      <w:r w:rsidRPr="000630B5" w:rsidR="00D6247B">
        <w:t xml:space="preserve"> coverage had undoubtedly been a strain on the applicant, but was not the topic of the proceedings. It </w:t>
      </w:r>
      <w:r w:rsidRPr="000630B5" w:rsidR="00AE4087">
        <w:t xml:space="preserve">did </w:t>
      </w:r>
      <w:r w:rsidRPr="000630B5" w:rsidR="00D6247B">
        <w:t xml:space="preserve">however </w:t>
      </w:r>
      <w:r w:rsidRPr="000630B5" w:rsidR="00AE4087">
        <w:t xml:space="preserve">form </w:t>
      </w:r>
      <w:r w:rsidRPr="000630B5" w:rsidR="00D6247B">
        <w:t>a background to the case and explained why the applicant had come in</w:t>
      </w:r>
      <w:r w:rsidRPr="000630B5" w:rsidR="00905D91">
        <w:t>to</w:t>
      </w:r>
      <w:r w:rsidRPr="000630B5" w:rsidR="00D6247B">
        <w:t xml:space="preserve"> the spotlight and subsequently been the topic of anonymous statements on the debate forum related to </w:t>
      </w:r>
      <w:r w:rsidRPr="000630B5" w:rsidR="00D6247B">
        <w:rPr>
          <w:i/>
        </w:rPr>
        <w:t>Hegnar Online</w:t>
      </w:r>
      <w:r w:rsidRPr="000630B5" w:rsidR="00D6247B">
        <w:t>.</w:t>
      </w:r>
    </w:p>
    <w:p w:rsidRPr="000630B5" w:rsidR="00D6247B" w:rsidP="000630B5" w:rsidRDefault="00406D59">
      <w:pPr>
        <w:pStyle w:val="ECHRPara"/>
      </w:pPr>
      <w:r w:rsidRPr="000630B5">
        <w:fldChar w:fldCharType="begin"/>
      </w:r>
      <w:r w:rsidRPr="000630B5">
        <w:instrText xml:space="preserve"> SEQ level0 \*arabic </w:instrText>
      </w:r>
      <w:r w:rsidRPr="000630B5">
        <w:fldChar w:fldCharType="separate"/>
      </w:r>
      <w:r w:rsidRPr="000630B5" w:rsidR="000630B5">
        <w:rPr>
          <w:noProof/>
        </w:rPr>
        <w:t>33</w:t>
      </w:r>
      <w:r w:rsidRPr="000630B5">
        <w:fldChar w:fldCharType="end"/>
      </w:r>
      <w:r w:rsidRPr="000630B5">
        <w:t>.  </w:t>
      </w:r>
      <w:r w:rsidRPr="000630B5" w:rsidR="00D6247B">
        <w:t xml:space="preserve">The High Court went on to state that it was of the view that the applicant had had good reason to react </w:t>
      </w:r>
      <w:r w:rsidRPr="000630B5" w:rsidR="00905D91">
        <w:t xml:space="preserve">to </w:t>
      </w:r>
      <w:r w:rsidRPr="000630B5" w:rsidR="00D6247B">
        <w:t xml:space="preserve">the statements on the </w:t>
      </w:r>
      <w:r w:rsidRPr="000630B5" w:rsidR="00D6247B">
        <w:rPr>
          <w:i/>
        </w:rPr>
        <w:t xml:space="preserve">Hegnar Online </w:t>
      </w:r>
      <w:r w:rsidRPr="000630B5" w:rsidR="00D6247B">
        <w:t xml:space="preserve">forum. The statements had been unserious and sexually loaded. Accordingly, she had by way of a complaint to the Press Complaints Commission achieved a declaration that </w:t>
      </w:r>
      <w:r w:rsidRPr="000630B5" w:rsidR="00D6247B">
        <w:rPr>
          <w:i/>
        </w:rPr>
        <w:t xml:space="preserve">Hegnar Online </w:t>
      </w:r>
      <w:r w:rsidRPr="000630B5" w:rsidR="00D6247B">
        <w:t xml:space="preserve">had breached the code of conduct for journalists because the content of the forum threads had exceeded what she had had to accept and </w:t>
      </w:r>
      <w:r w:rsidRPr="000630B5" w:rsidR="005D42F1">
        <w:t xml:space="preserve">that </w:t>
      </w:r>
      <w:r w:rsidRPr="000630B5" w:rsidR="009908B3">
        <w:rPr>
          <w:i/>
        </w:rPr>
        <w:t>Hegnar Online</w:t>
      </w:r>
      <w:r w:rsidRPr="000630B5" w:rsidR="009908B3">
        <w:t xml:space="preserve"> should on its own initiative </w:t>
      </w:r>
      <w:r w:rsidRPr="000630B5" w:rsidR="007F394F">
        <w:t xml:space="preserve">have </w:t>
      </w:r>
      <w:r w:rsidRPr="000630B5" w:rsidR="009908B3">
        <w:t xml:space="preserve">discovered and removed the comments </w:t>
      </w:r>
      <w:r w:rsidRPr="000630B5" w:rsidR="005D42F1">
        <w:t xml:space="preserve">more quickly </w:t>
      </w:r>
      <w:r w:rsidRPr="000630B5" w:rsidR="009908B3">
        <w:t>than</w:t>
      </w:r>
      <w:r w:rsidRPr="000630B5" w:rsidR="00905D91">
        <w:t xml:space="preserve"> </w:t>
      </w:r>
      <w:r w:rsidRPr="000630B5" w:rsidR="009908B3">
        <w:t>had happened.</w:t>
      </w:r>
    </w:p>
    <w:p w:rsidRPr="000630B5" w:rsidR="00EA3C01" w:rsidP="000630B5" w:rsidRDefault="00406D59">
      <w:pPr>
        <w:pStyle w:val="ECHRPara"/>
      </w:pPr>
      <w:r w:rsidRPr="000630B5">
        <w:fldChar w:fldCharType="begin"/>
      </w:r>
      <w:r w:rsidRPr="000630B5">
        <w:instrText xml:space="preserve"> SEQ level0 \*arabic </w:instrText>
      </w:r>
      <w:r w:rsidRPr="000630B5">
        <w:fldChar w:fldCharType="separate"/>
      </w:r>
      <w:r w:rsidRPr="000630B5" w:rsidR="000630B5">
        <w:rPr>
          <w:noProof/>
        </w:rPr>
        <w:t>34</w:t>
      </w:r>
      <w:r w:rsidRPr="000630B5">
        <w:fldChar w:fldCharType="end"/>
      </w:r>
      <w:r w:rsidRPr="000630B5">
        <w:t>.  </w:t>
      </w:r>
      <w:r w:rsidRPr="000630B5" w:rsidR="009908B3">
        <w:t xml:space="preserve">Turning to the question of liability to pay </w:t>
      </w:r>
      <w:r w:rsidRPr="000630B5" w:rsidR="005D42F1">
        <w:t>compensation</w:t>
      </w:r>
      <w:r w:rsidRPr="000630B5" w:rsidR="009908B3">
        <w:t xml:space="preserve">, the High Court stated that this was a different question </w:t>
      </w:r>
      <w:r w:rsidRPr="000630B5" w:rsidR="00905D91">
        <w:t xml:space="preserve">to </w:t>
      </w:r>
      <w:r w:rsidRPr="000630B5" w:rsidR="009908B3">
        <w:t xml:space="preserve">that considered by the Press Complaints Commission. At this point the High Court had reached the same conclusion as the City Court had, but on different grounds. The City Court had </w:t>
      </w:r>
      <w:r w:rsidRPr="000630B5" w:rsidR="007F394F">
        <w:t xml:space="preserve">considered </w:t>
      </w:r>
      <w:r w:rsidRPr="000630B5" w:rsidR="009908B3">
        <w:t xml:space="preserve">each </w:t>
      </w:r>
      <w:r w:rsidRPr="000630B5" w:rsidR="00984F29">
        <w:t xml:space="preserve">of the three </w:t>
      </w:r>
      <w:r w:rsidRPr="000630B5" w:rsidR="009908B3">
        <w:t>comment</w:t>
      </w:r>
      <w:r w:rsidRPr="000630B5" w:rsidR="00984F29">
        <w:t>s</w:t>
      </w:r>
      <w:r w:rsidRPr="000630B5" w:rsidR="009908B3">
        <w:t xml:space="preserve"> </w:t>
      </w:r>
      <w:r w:rsidRPr="000630B5" w:rsidR="007F394F">
        <w:t xml:space="preserve">in detail </w:t>
      </w:r>
      <w:r w:rsidRPr="000630B5" w:rsidR="009908B3">
        <w:t>and concluded that, although</w:t>
      </w:r>
      <w:r w:rsidRPr="000630B5" w:rsidR="007F394F">
        <w:t xml:space="preserve"> </w:t>
      </w:r>
      <w:r w:rsidRPr="000630B5" w:rsidR="009908B3">
        <w:t>inappropriate, unserious and tasteless (</w:t>
      </w:r>
      <w:r w:rsidRPr="000630B5" w:rsidR="009908B3">
        <w:rPr>
          <w:i/>
        </w:rPr>
        <w:t>“usaklige, useri</w:t>
      </w:r>
      <w:r w:rsidRPr="000630B5" w:rsidR="009908B3">
        <w:rPr>
          <w:i/>
          <w:lang w:val="en-US"/>
        </w:rPr>
        <w:t>øse og smakløse</w:t>
      </w:r>
      <w:r w:rsidRPr="000630B5" w:rsidR="009908B3">
        <w:t xml:space="preserve">”), they </w:t>
      </w:r>
      <w:r w:rsidRPr="000630B5" w:rsidR="00F82250">
        <w:t>did not fall within the scope of</w:t>
      </w:r>
      <w:r w:rsidRPr="000630B5" w:rsidR="009908B3">
        <w:t xml:space="preserve"> Articles 246 and 247 of the Penal Code (see paragraph</w:t>
      </w:r>
      <w:r w:rsidRPr="000630B5" w:rsidR="00DB2752">
        <w:t>s 24</w:t>
      </w:r>
      <w:r w:rsidRPr="000630B5">
        <w:t>-</w:t>
      </w:r>
      <w:r w:rsidRPr="000630B5" w:rsidR="00DB2752">
        <w:t>28</w:t>
      </w:r>
      <w:r w:rsidRPr="000630B5">
        <w:t xml:space="preserve"> above and</w:t>
      </w:r>
      <w:r w:rsidRPr="000630B5" w:rsidR="009908B3">
        <w:t xml:space="preserve"> </w:t>
      </w:r>
      <w:r w:rsidRPr="000630B5" w:rsidR="00DB2752">
        <w:t>43</w:t>
      </w:r>
      <w:r w:rsidRPr="000630B5" w:rsidR="009908B3">
        <w:t xml:space="preserve"> below). The High Court stated that it shared the City Court</w:t>
      </w:r>
      <w:r w:rsidRPr="000630B5" w:rsidR="000630B5">
        <w:t>’</w:t>
      </w:r>
      <w:r w:rsidRPr="000630B5" w:rsidR="009908B3">
        <w:t xml:space="preserve">s view </w:t>
      </w:r>
      <w:r w:rsidRPr="000630B5" w:rsidR="00905D91">
        <w:t>with regard to</w:t>
      </w:r>
      <w:r w:rsidRPr="000630B5" w:rsidR="009908B3">
        <w:t xml:space="preserve"> the lack of seriousness, but deemed it unnecessary to assess </w:t>
      </w:r>
      <w:r w:rsidRPr="000630B5" w:rsidR="00984F29">
        <w:t>the three comments</w:t>
      </w:r>
      <w:r w:rsidRPr="000630B5" w:rsidR="009908B3">
        <w:t xml:space="preserve"> </w:t>
      </w:r>
      <w:r w:rsidRPr="000630B5" w:rsidR="00385C86">
        <w:t>against</w:t>
      </w:r>
      <w:r w:rsidRPr="000630B5" w:rsidR="009908B3">
        <w:t xml:space="preserve"> the provision</w:t>
      </w:r>
      <w:r w:rsidRPr="000630B5" w:rsidR="00984F29">
        <w:t>s</w:t>
      </w:r>
      <w:r w:rsidRPr="000630B5" w:rsidR="009908B3">
        <w:t xml:space="preserve"> on defamation.</w:t>
      </w:r>
    </w:p>
    <w:p w:rsidRPr="000630B5" w:rsidR="00C82108" w:rsidP="000630B5" w:rsidRDefault="00406D59">
      <w:pPr>
        <w:pStyle w:val="ECHRPara"/>
      </w:pPr>
      <w:r w:rsidRPr="000630B5">
        <w:fldChar w:fldCharType="begin"/>
      </w:r>
      <w:r w:rsidRPr="000630B5">
        <w:instrText xml:space="preserve"> SEQ level0 \*arabic </w:instrText>
      </w:r>
      <w:r w:rsidRPr="000630B5">
        <w:fldChar w:fldCharType="separate"/>
      </w:r>
      <w:r w:rsidRPr="000630B5" w:rsidR="000630B5">
        <w:rPr>
          <w:noProof/>
        </w:rPr>
        <w:t>35</w:t>
      </w:r>
      <w:r w:rsidRPr="000630B5">
        <w:fldChar w:fldCharType="end"/>
      </w:r>
      <w:r w:rsidRPr="000630B5">
        <w:t>.  </w:t>
      </w:r>
      <w:r w:rsidRPr="000630B5" w:rsidR="00C82108">
        <w:t xml:space="preserve">Instead, </w:t>
      </w:r>
      <w:r w:rsidRPr="000630B5" w:rsidR="009908B3">
        <w:t xml:space="preserve">the High Court </w:t>
      </w:r>
      <w:r w:rsidRPr="000630B5" w:rsidR="00C82108">
        <w:t xml:space="preserve">proceeded on the </w:t>
      </w:r>
      <w:r w:rsidRPr="000630B5" w:rsidR="00113795">
        <w:t xml:space="preserve">basis </w:t>
      </w:r>
      <w:r w:rsidRPr="000630B5" w:rsidR="00C82108">
        <w:t>that the applicant</w:t>
      </w:r>
      <w:r w:rsidRPr="000630B5" w:rsidR="000630B5">
        <w:t>’</w:t>
      </w:r>
      <w:r w:rsidRPr="000630B5" w:rsidR="00C82108">
        <w:t xml:space="preserve">s claim for </w:t>
      </w:r>
      <w:r w:rsidRPr="000630B5" w:rsidR="00113795">
        <w:t>compensation</w:t>
      </w:r>
      <w:r w:rsidRPr="000630B5" w:rsidR="00C82108">
        <w:t xml:space="preserve"> could in any event not succeed unless the defendants had </w:t>
      </w:r>
      <w:r w:rsidRPr="000630B5" w:rsidR="00D0269E">
        <w:t>acted</w:t>
      </w:r>
      <w:r w:rsidRPr="000630B5" w:rsidR="00C82108">
        <w:t xml:space="preserve"> </w:t>
      </w:r>
      <w:r w:rsidRPr="000630B5" w:rsidR="00164013">
        <w:t xml:space="preserve">with </w:t>
      </w:r>
      <w:r w:rsidRPr="000630B5" w:rsidR="00CD7093">
        <w:t>sufficient culpability</w:t>
      </w:r>
      <w:r w:rsidRPr="000630B5" w:rsidR="00C82108">
        <w:t>. It wou</w:t>
      </w:r>
      <w:r w:rsidRPr="000630B5" w:rsidR="006A7B6C">
        <w:t xml:space="preserve">ld be decisive whether </w:t>
      </w:r>
      <w:r w:rsidRPr="000630B5" w:rsidR="00E406BF">
        <w:t>such culpability</w:t>
      </w:r>
      <w:r w:rsidRPr="000630B5" w:rsidR="006A7B6C">
        <w:t xml:space="preserve"> had been demonstrated by </w:t>
      </w:r>
      <w:r w:rsidRPr="000630B5" w:rsidR="006A7B6C">
        <w:rPr>
          <w:i/>
        </w:rPr>
        <w:t xml:space="preserve">Hegnar Online </w:t>
      </w:r>
      <w:r w:rsidRPr="000630B5" w:rsidR="00F82250">
        <w:t>and Mr </w:t>
      </w:r>
      <w:r w:rsidRPr="000630B5" w:rsidR="006A7B6C">
        <w:t xml:space="preserve">H. not having </w:t>
      </w:r>
      <w:r w:rsidRPr="000630B5" w:rsidR="00E406BF">
        <w:t>done enough</w:t>
      </w:r>
      <w:r w:rsidRPr="000630B5" w:rsidR="006A7B6C">
        <w:t xml:space="preserve"> to discover and thereafter remove the impugned comments.</w:t>
      </w:r>
    </w:p>
    <w:p w:rsidRPr="000630B5" w:rsidR="00EA3C01" w:rsidP="000630B5" w:rsidRDefault="00406D59">
      <w:pPr>
        <w:pStyle w:val="ECHRPara"/>
      </w:pPr>
      <w:r w:rsidRPr="000630B5">
        <w:fldChar w:fldCharType="begin"/>
      </w:r>
      <w:r w:rsidRPr="000630B5">
        <w:instrText xml:space="preserve"> SEQ level0 \*arabic </w:instrText>
      </w:r>
      <w:r w:rsidRPr="000630B5">
        <w:fldChar w:fldCharType="separate"/>
      </w:r>
      <w:r w:rsidRPr="000630B5" w:rsidR="000630B5">
        <w:rPr>
          <w:noProof/>
        </w:rPr>
        <w:t>36</w:t>
      </w:r>
      <w:r w:rsidRPr="000630B5">
        <w:fldChar w:fldCharType="end"/>
      </w:r>
      <w:r w:rsidRPr="000630B5">
        <w:t>.  </w:t>
      </w:r>
      <w:r w:rsidRPr="000630B5" w:rsidR="00E406BF">
        <w:t>The High Court further stated that one characteristic of posts on the type of debate forum in question, and also of comments on editorial content posted online, was that they were posted in real</w:t>
      </w:r>
      <w:r w:rsidRPr="000630B5" w:rsidR="006D6A11">
        <w:t xml:space="preserve"> </w:t>
      </w:r>
      <w:r w:rsidRPr="000630B5" w:rsidR="00E406BF">
        <w:t>time without any prior censorship being possible. This meant that control</w:t>
      </w:r>
      <w:r w:rsidRPr="000630B5" w:rsidR="00AF44E8">
        <w:t>s</w:t>
      </w:r>
      <w:r w:rsidRPr="000630B5" w:rsidR="00E406BF">
        <w:t xml:space="preserve"> </w:t>
      </w:r>
      <w:r w:rsidRPr="000630B5" w:rsidR="00FD7E65">
        <w:t>needed t</w:t>
      </w:r>
      <w:r w:rsidRPr="000630B5" w:rsidR="00AA0CF0">
        <w:t xml:space="preserve">o be carried out subsequently, </w:t>
      </w:r>
      <w:r w:rsidRPr="000630B5" w:rsidR="00193FC2">
        <w:t>regardless of whether it concerned content subject to editorial responsibility or a website with only user-generated content.</w:t>
      </w:r>
    </w:p>
    <w:p w:rsidRPr="000630B5" w:rsidR="00C82108"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37</w:t>
      </w:r>
      <w:r w:rsidRPr="000630B5">
        <w:fldChar w:fldCharType="end"/>
      </w:r>
      <w:r w:rsidRPr="000630B5">
        <w:t>.  With regard to the general system for monitoring content, the High Court noted that there were “warning buttons” on the website, which readers could click</w:t>
      </w:r>
      <w:r w:rsidRPr="000630B5" w:rsidR="006D6A11">
        <w:t xml:space="preserve"> on</w:t>
      </w:r>
      <w:r w:rsidRPr="000630B5">
        <w:t xml:space="preserve"> in order to react to comments. Furthermore, </w:t>
      </w:r>
      <w:r w:rsidRPr="000630B5" w:rsidR="00F82250">
        <w:t xml:space="preserve">the </w:t>
      </w:r>
      <w:r w:rsidRPr="000630B5">
        <w:t xml:space="preserve">editorial staff had the task of monitoring content and removing comments on their own initiative. However, there </w:t>
      </w:r>
      <w:r w:rsidRPr="000630B5" w:rsidR="006D6A11">
        <w:t>were</w:t>
      </w:r>
      <w:r w:rsidRPr="000630B5">
        <w:t xml:space="preserve"> a very large number of posts on the forum as a whole, and the High Court presumed that only a few discoveries of content to be removed had been made at the relevant time.</w:t>
      </w:r>
    </w:p>
    <w:p w:rsidRPr="000630B5" w:rsidR="00406D59"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38</w:t>
      </w:r>
      <w:r w:rsidRPr="000630B5">
        <w:fldChar w:fldCharType="end"/>
      </w:r>
      <w:r w:rsidRPr="000630B5">
        <w:t xml:space="preserve">.  Turning to the </w:t>
      </w:r>
      <w:r w:rsidRPr="000630B5" w:rsidR="00984F29">
        <w:t xml:space="preserve">three specific </w:t>
      </w:r>
      <w:r w:rsidRPr="000630B5">
        <w:t>comments in quest</w:t>
      </w:r>
      <w:r w:rsidRPr="000630B5" w:rsidR="00934D22">
        <w:t xml:space="preserve">ion, the High Court noted that </w:t>
      </w:r>
      <w:r w:rsidRPr="000630B5">
        <w:t>comment</w:t>
      </w:r>
      <w:r w:rsidRPr="000630B5" w:rsidR="00934D22">
        <w:t>s</w:t>
      </w:r>
      <w:r w:rsidRPr="000630B5">
        <w:t xml:space="preserve"> 1 and 2 had been posted on 6 and 8 November 2010 respectively. The applicant had been notified by others of the </w:t>
      </w:r>
      <w:r w:rsidRPr="000630B5" w:rsidR="00406D59">
        <w:t>comments</w:t>
      </w:r>
      <w:r w:rsidRPr="000630B5">
        <w:t xml:space="preserve">, and had not read them herself on the website. The editorial staff had been notified of the two comments by email on 17 November 2010, and had responded </w:t>
      </w:r>
      <w:r w:rsidRPr="000630B5" w:rsidR="0070398A">
        <w:t>thirteen </w:t>
      </w:r>
      <w:r w:rsidRPr="000630B5">
        <w:t xml:space="preserve">minutes later that they had been removed. This </w:t>
      </w:r>
      <w:r w:rsidRPr="000630B5" w:rsidR="0070398A">
        <w:t xml:space="preserve">had </w:t>
      </w:r>
      <w:r w:rsidRPr="000630B5">
        <w:t>clearly</w:t>
      </w:r>
      <w:r w:rsidRPr="000630B5" w:rsidR="0070398A">
        <w:t xml:space="preserve"> been</w:t>
      </w:r>
      <w:r w:rsidRPr="000630B5">
        <w:t xml:space="preserve"> an adequate reaction. However, the High Court discussed whether the letter from the applicant</w:t>
      </w:r>
      <w:r w:rsidRPr="000630B5" w:rsidR="000630B5">
        <w:t>’</w:t>
      </w:r>
      <w:r w:rsidRPr="000630B5">
        <w:t xml:space="preserve">s counsel to the Press Complaints </w:t>
      </w:r>
      <w:r w:rsidRPr="000630B5" w:rsidR="008116E2">
        <w:t xml:space="preserve">Commission </w:t>
      </w:r>
      <w:r w:rsidRPr="000630B5" w:rsidR="005479B6">
        <w:t xml:space="preserve">on 8 </w:t>
      </w:r>
      <w:r w:rsidRPr="000630B5">
        <w:t xml:space="preserve">November 2010 </w:t>
      </w:r>
      <w:r w:rsidRPr="000630B5" w:rsidR="00984F29">
        <w:t xml:space="preserve">(see paragraph </w:t>
      </w:r>
      <w:r w:rsidRPr="000630B5" w:rsidR="00DB2752">
        <w:t>10</w:t>
      </w:r>
      <w:r w:rsidRPr="000630B5" w:rsidR="00984F29">
        <w:t xml:space="preserve"> above) </w:t>
      </w:r>
      <w:r w:rsidRPr="000630B5" w:rsidR="00F82250">
        <w:t>implied that Mr </w:t>
      </w:r>
      <w:r w:rsidRPr="000630B5">
        <w:t xml:space="preserve">Hegnar should have initiated a deletion process at that time. Having regard to the fact that the letter was formally made in a different context, namely the pending complaint against </w:t>
      </w:r>
      <w:r w:rsidRPr="000630B5">
        <w:rPr>
          <w:i/>
        </w:rPr>
        <w:t>Kapital</w:t>
      </w:r>
      <w:r w:rsidRPr="000630B5" w:rsidR="00984F29">
        <w:rPr>
          <w:i/>
        </w:rPr>
        <w:t xml:space="preserve"> </w:t>
      </w:r>
      <w:r w:rsidRPr="000630B5" w:rsidR="00984F29">
        <w:t xml:space="preserve">(see paragraph </w:t>
      </w:r>
      <w:r w:rsidRPr="000630B5" w:rsidR="00DB2752">
        <w:t>6</w:t>
      </w:r>
      <w:r w:rsidRPr="000630B5" w:rsidR="00984F29">
        <w:t xml:space="preserve"> above)</w:t>
      </w:r>
      <w:r w:rsidRPr="000630B5">
        <w:t xml:space="preserve">, and did not contain any request that the comments be removed, the High Court found it appropriate that Mr Hegnar had only considered the letter as a document in the </w:t>
      </w:r>
      <w:r w:rsidRPr="000630B5">
        <w:rPr>
          <w:i/>
        </w:rPr>
        <w:t>Kapital</w:t>
      </w:r>
      <w:r w:rsidRPr="000630B5" w:rsidR="00406D59">
        <w:t xml:space="preserve"> case.</w:t>
      </w:r>
    </w:p>
    <w:p w:rsidRPr="000630B5" w:rsidR="00C82108" w:rsidP="000630B5" w:rsidRDefault="00406D59">
      <w:pPr>
        <w:pStyle w:val="ECHRPara"/>
      </w:pPr>
      <w:r w:rsidRPr="000630B5">
        <w:fldChar w:fldCharType="begin"/>
      </w:r>
      <w:r w:rsidRPr="000630B5">
        <w:instrText xml:space="preserve"> SEQ level0 \*arabic </w:instrText>
      </w:r>
      <w:r w:rsidRPr="000630B5">
        <w:fldChar w:fldCharType="separate"/>
      </w:r>
      <w:r w:rsidRPr="000630B5" w:rsidR="000630B5">
        <w:rPr>
          <w:noProof/>
        </w:rPr>
        <w:t>39</w:t>
      </w:r>
      <w:r w:rsidRPr="000630B5">
        <w:fldChar w:fldCharType="end"/>
      </w:r>
      <w:r w:rsidRPr="000630B5">
        <w:t>.  With respect to c</w:t>
      </w:r>
      <w:r w:rsidRPr="000630B5" w:rsidR="00C82108">
        <w:t>omment 3</w:t>
      </w:r>
      <w:r w:rsidRPr="000630B5">
        <w:t>, this</w:t>
      </w:r>
      <w:r w:rsidRPr="000630B5" w:rsidR="00C82108">
        <w:t xml:space="preserve"> had b</w:t>
      </w:r>
      <w:r w:rsidRPr="000630B5">
        <w:t>een posted on 30</w:t>
      </w:r>
      <w:r w:rsidRPr="000630B5" w:rsidR="00EA3C01">
        <w:t> </w:t>
      </w:r>
      <w:r w:rsidRPr="000630B5">
        <w:t xml:space="preserve">November 2010. </w:t>
      </w:r>
      <w:r w:rsidRPr="000630B5" w:rsidR="0070398A">
        <w:t xml:space="preserve">On 3 December 2010 staff </w:t>
      </w:r>
      <w:r w:rsidRPr="000630B5" w:rsidR="00C82108">
        <w:t xml:space="preserve">at </w:t>
      </w:r>
      <w:r w:rsidRPr="000630B5" w:rsidR="00C82108">
        <w:rPr>
          <w:i/>
        </w:rPr>
        <w:t>Radio Norge</w:t>
      </w:r>
      <w:r w:rsidRPr="000630B5" w:rsidR="00C82108">
        <w:t xml:space="preserve"> had informed the applicant</w:t>
      </w:r>
      <w:r w:rsidRPr="000630B5" w:rsidR="000630B5">
        <w:t>’</w:t>
      </w:r>
      <w:r w:rsidRPr="000630B5" w:rsidR="00C82108">
        <w:t>s counsel</w:t>
      </w:r>
      <w:r w:rsidRPr="000630B5" w:rsidR="0070398A">
        <w:t>, who</w:t>
      </w:r>
      <w:r w:rsidRPr="000630B5" w:rsidR="00C82108">
        <w:t xml:space="preserve"> had contacted </w:t>
      </w:r>
      <w:r w:rsidRPr="000630B5" w:rsidR="00C82108">
        <w:rPr>
          <w:i/>
        </w:rPr>
        <w:t>Hegnar Online</w:t>
      </w:r>
      <w:r w:rsidRPr="000630B5" w:rsidR="00EA3C01">
        <w:t xml:space="preserve"> on 6 </w:t>
      </w:r>
      <w:r w:rsidRPr="000630B5" w:rsidR="00C82108">
        <w:t xml:space="preserve">December 2010. </w:t>
      </w:r>
      <w:r w:rsidRPr="000630B5" w:rsidR="00C82108">
        <w:rPr>
          <w:i/>
        </w:rPr>
        <w:t>Hegnar Online</w:t>
      </w:r>
      <w:r w:rsidRPr="000630B5" w:rsidR="00C82108">
        <w:t xml:space="preserve"> had by then already looked into the matter, as it had received a similar notification from </w:t>
      </w:r>
      <w:r w:rsidRPr="000630B5" w:rsidR="00C82108">
        <w:rPr>
          <w:i/>
        </w:rPr>
        <w:t>Radio Norge</w:t>
      </w:r>
      <w:r w:rsidRPr="000630B5" w:rsidR="00C82108">
        <w:t xml:space="preserve"> on 3 December 2010, and </w:t>
      </w:r>
      <w:r w:rsidRPr="000630B5" w:rsidR="0070398A">
        <w:t xml:space="preserve">had </w:t>
      </w:r>
      <w:r w:rsidRPr="000630B5" w:rsidR="00C82108">
        <w:t xml:space="preserve">on that date noticed that the comment had already been deleted, presumably by a moderator at </w:t>
      </w:r>
      <w:r w:rsidRPr="000630B5" w:rsidR="00C82108">
        <w:rPr>
          <w:i/>
        </w:rPr>
        <w:t>Hegnar Online</w:t>
      </w:r>
      <w:r w:rsidRPr="000630B5" w:rsidR="00C82108">
        <w:t>. As this comment had, thus, rapidly been deleted o</w:t>
      </w:r>
      <w:r w:rsidRPr="000630B5" w:rsidR="0070398A">
        <w:t>f</w:t>
      </w:r>
      <w:r w:rsidRPr="000630B5" w:rsidR="00C82108">
        <w:t xml:space="preserve"> the staff</w:t>
      </w:r>
      <w:r w:rsidRPr="000630B5" w:rsidR="000630B5">
        <w:t>’</w:t>
      </w:r>
      <w:r w:rsidRPr="000630B5" w:rsidR="00C82108">
        <w:t xml:space="preserve">s own motion, there was nothing to </w:t>
      </w:r>
      <w:r w:rsidRPr="000630B5" w:rsidR="00743C68">
        <w:t xml:space="preserve">suggest </w:t>
      </w:r>
      <w:r w:rsidRPr="000630B5" w:rsidR="00C82108">
        <w:t xml:space="preserve">liability on </w:t>
      </w:r>
      <w:r w:rsidRPr="000630B5" w:rsidR="008116E2">
        <w:t xml:space="preserve">the part </w:t>
      </w:r>
      <w:r w:rsidRPr="000630B5" w:rsidR="00C82108">
        <w:t xml:space="preserve">of </w:t>
      </w:r>
      <w:r w:rsidRPr="000630B5" w:rsidR="00C82108">
        <w:rPr>
          <w:i/>
        </w:rPr>
        <w:t>Hegnar Online</w:t>
      </w:r>
      <w:r w:rsidRPr="000630B5" w:rsidR="00C82108">
        <w:t>.</w:t>
      </w:r>
    </w:p>
    <w:p w:rsidRPr="000630B5" w:rsidR="00CC7B0D"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40</w:t>
      </w:r>
      <w:r w:rsidRPr="000630B5">
        <w:fldChar w:fldCharType="end"/>
      </w:r>
      <w:r w:rsidRPr="000630B5">
        <w:t>.  The High Court upheld the City Court</w:t>
      </w:r>
      <w:r w:rsidRPr="000630B5" w:rsidR="000630B5">
        <w:t>’</w:t>
      </w:r>
      <w:r w:rsidRPr="000630B5">
        <w:t>s decision on litigation costs before the City Court and awarded the defendants NOK</w:t>
      </w:r>
      <w:r w:rsidRPr="000630B5" w:rsidR="005479B6">
        <w:t> </w:t>
      </w:r>
      <w:r w:rsidRPr="000630B5">
        <w:t xml:space="preserve">183,380 (approximately EUR 20,050) </w:t>
      </w:r>
      <w:r w:rsidRPr="000630B5" w:rsidR="007B7985">
        <w:t xml:space="preserve">for their </w:t>
      </w:r>
      <w:r w:rsidRPr="000630B5">
        <w:t xml:space="preserve">costs before the High Court. </w:t>
      </w:r>
      <w:r w:rsidRPr="000630B5" w:rsidR="00B658FA">
        <w:t>It remarke</w:t>
      </w:r>
      <w:r w:rsidRPr="000630B5" w:rsidR="009B3B14">
        <w:t xml:space="preserve">d that the case had been clear and that </w:t>
      </w:r>
      <w:r w:rsidRPr="000630B5" w:rsidR="0070398A">
        <w:t xml:space="preserve">neither </w:t>
      </w:r>
      <w:r w:rsidRPr="000630B5" w:rsidR="009B3B14">
        <w:t>considerations on the parties</w:t>
      </w:r>
      <w:r w:rsidRPr="000630B5" w:rsidR="000630B5">
        <w:t>’</w:t>
      </w:r>
      <w:r w:rsidRPr="000630B5" w:rsidR="009B3B14">
        <w:t xml:space="preserve"> welfare nor relative strength (see paragraph 47 below) could justify not awarding the winning party costs. </w:t>
      </w:r>
      <w:r w:rsidRPr="000630B5">
        <w:t>T</w:t>
      </w:r>
      <w:r w:rsidRPr="000630B5" w:rsidR="00EA3C01">
        <w:t>he defendants had claimed NOK </w:t>
      </w:r>
      <w:r w:rsidRPr="000630B5">
        <w:t xml:space="preserve">231,980 (approximately EUR 24,416), but the High Court found that </w:t>
      </w:r>
      <w:r w:rsidRPr="000630B5" w:rsidR="00095F82">
        <w:t xml:space="preserve">as </w:t>
      </w:r>
      <w:r w:rsidRPr="000630B5">
        <w:t xml:space="preserve">their counsel </w:t>
      </w:r>
      <w:r w:rsidRPr="000630B5" w:rsidR="00095F82">
        <w:t xml:space="preserve">charged </w:t>
      </w:r>
      <w:r w:rsidRPr="000630B5">
        <w:t xml:space="preserve">a high hourly </w:t>
      </w:r>
      <w:r w:rsidRPr="000630B5" w:rsidR="00095F82">
        <w:t>rate</w:t>
      </w:r>
      <w:r w:rsidRPr="000630B5">
        <w:t>, appropriate for a specialis</w:t>
      </w:r>
      <w:r w:rsidRPr="000630B5" w:rsidR="0070398A">
        <w:t>t</w:t>
      </w:r>
      <w:r w:rsidRPr="000630B5">
        <w:t xml:space="preserve"> lawyer, this should </w:t>
      </w:r>
      <w:r w:rsidRPr="000630B5" w:rsidR="00095F82">
        <w:t xml:space="preserve">have </w:t>
      </w:r>
      <w:r w:rsidRPr="000630B5">
        <w:t>be</w:t>
      </w:r>
      <w:r w:rsidRPr="000630B5" w:rsidR="00095F82">
        <w:t>en</w:t>
      </w:r>
      <w:r w:rsidRPr="000630B5">
        <w:t xml:space="preserve"> reflected in a lower amount of hours.</w:t>
      </w:r>
    </w:p>
    <w:p w:rsidRPr="000630B5" w:rsidR="00C82108" w:rsidP="000630B5" w:rsidRDefault="001C253F">
      <w:pPr>
        <w:pStyle w:val="ECHRHeading2"/>
        <w:spacing w:before="320"/>
      </w:pPr>
      <w:r w:rsidRPr="000630B5">
        <w:t>D</w:t>
      </w:r>
      <w:r w:rsidRPr="000630B5" w:rsidR="00C82108">
        <w:t>.  Proceedings before the Supreme Court</w:t>
      </w:r>
    </w:p>
    <w:p w:rsidRPr="000630B5" w:rsidR="00C82108"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41</w:t>
      </w:r>
      <w:r w:rsidRPr="000630B5">
        <w:fldChar w:fldCharType="end"/>
      </w:r>
      <w:r w:rsidRPr="000630B5">
        <w:t xml:space="preserve">.  On 22 November 2013 the applicant appealed </w:t>
      </w:r>
      <w:r w:rsidRPr="000630B5" w:rsidR="00095F82">
        <w:t>against the High Court</w:t>
      </w:r>
      <w:r w:rsidRPr="000630B5" w:rsidR="000630B5">
        <w:t>’</w:t>
      </w:r>
      <w:r w:rsidRPr="000630B5" w:rsidR="00095F82">
        <w:t xml:space="preserve">s judgment </w:t>
      </w:r>
      <w:r w:rsidRPr="000630B5">
        <w:t>to the Supreme Court (</w:t>
      </w:r>
      <w:r w:rsidRPr="000630B5">
        <w:rPr>
          <w:i/>
        </w:rPr>
        <w:t>Høyesterett</w:t>
      </w:r>
      <w:r w:rsidRPr="000630B5">
        <w:t>). She contested the High Court</w:t>
      </w:r>
      <w:r w:rsidRPr="000630B5" w:rsidR="000630B5">
        <w:t>’</w:t>
      </w:r>
      <w:r w:rsidRPr="000630B5">
        <w:t xml:space="preserve">s assessment that the defendants had </w:t>
      </w:r>
      <w:r w:rsidRPr="000630B5" w:rsidR="00C00153">
        <w:t xml:space="preserve">acted with </w:t>
      </w:r>
      <w:r w:rsidRPr="000630B5">
        <w:t xml:space="preserve">sufficient care and alleged that the High Court had erred in law as its reasoning had not been clear with respect to the standard of care required, notably whether it had proceeded on the </w:t>
      </w:r>
      <w:r w:rsidRPr="000630B5" w:rsidR="00095F82">
        <w:t xml:space="preserve">basis </w:t>
      </w:r>
      <w:r w:rsidRPr="000630B5">
        <w:t>that negligence would suffice for liability, or whether the establishment of gross negligence ha</w:t>
      </w:r>
      <w:r w:rsidRPr="000630B5" w:rsidR="00095F82">
        <w:t>d</w:t>
      </w:r>
      <w:r w:rsidRPr="000630B5">
        <w:t xml:space="preserve"> been necessary. She also contested the High Court</w:t>
      </w:r>
      <w:r w:rsidRPr="000630B5" w:rsidR="000630B5">
        <w:t>’</w:t>
      </w:r>
      <w:r w:rsidRPr="000630B5">
        <w:t>s assessment of evidence concerning Mr Hegnar</w:t>
      </w:r>
      <w:r w:rsidRPr="000630B5" w:rsidR="000630B5">
        <w:t>’</w:t>
      </w:r>
      <w:r w:rsidRPr="000630B5">
        <w:t xml:space="preserve">s dealing with the letter of 8 November 2010 addressed to the Press Complaints </w:t>
      </w:r>
      <w:r w:rsidRPr="000630B5" w:rsidR="008116E2">
        <w:t>Commission</w:t>
      </w:r>
      <w:r w:rsidRPr="000630B5">
        <w:t xml:space="preserve">. The applicant pointed out that Mr Hegnar had written an editorial in </w:t>
      </w:r>
      <w:r w:rsidRPr="000630B5">
        <w:rPr>
          <w:i/>
        </w:rPr>
        <w:t>Kapital</w:t>
      </w:r>
      <w:r w:rsidRPr="000630B5">
        <w:t xml:space="preserve"> on 19 November 2010</w:t>
      </w:r>
      <w:r w:rsidRPr="000630B5" w:rsidR="00F82250">
        <w:t>,</w:t>
      </w:r>
      <w:r w:rsidRPr="000630B5" w:rsidR="00095F82">
        <w:t xml:space="preserve"> making</w:t>
      </w:r>
      <w:r w:rsidRPr="000630B5">
        <w:t xml:space="preserve"> remarks about how the applicant had complained </w:t>
      </w:r>
      <w:r w:rsidRPr="000630B5" w:rsidR="00095F82">
        <w:t xml:space="preserve">about </w:t>
      </w:r>
      <w:r w:rsidRPr="000630B5">
        <w:t>comments on the forum</w:t>
      </w:r>
      <w:r w:rsidRPr="000630B5" w:rsidR="001A30FA">
        <w:t xml:space="preserve"> (see paragraph </w:t>
      </w:r>
      <w:r w:rsidRPr="000630B5" w:rsidR="00126718">
        <w:t>14</w:t>
      </w:r>
      <w:r w:rsidRPr="000630B5" w:rsidR="001A30FA">
        <w:t xml:space="preserve"> above)</w:t>
      </w:r>
      <w:r w:rsidRPr="000630B5">
        <w:t xml:space="preserve">. Furthermore, the applicant argued that the High Court had wrongfully proceeded on the </w:t>
      </w:r>
      <w:r w:rsidRPr="000630B5" w:rsidR="007B7985">
        <w:t xml:space="preserve">basis </w:t>
      </w:r>
      <w:r w:rsidRPr="000630B5">
        <w:t xml:space="preserve">that </w:t>
      </w:r>
      <w:r w:rsidRPr="000630B5" w:rsidR="00F82250">
        <w:t xml:space="preserve">the </w:t>
      </w:r>
      <w:r w:rsidRPr="000630B5">
        <w:t xml:space="preserve">standards </w:t>
      </w:r>
      <w:r w:rsidRPr="000630B5" w:rsidR="007B7985">
        <w:t>for the</w:t>
      </w:r>
      <w:r w:rsidRPr="000630B5">
        <w:t xml:space="preserve"> moderation of websites with user-generated content had been more lenient in 2010 than at the time of the High Court</w:t>
      </w:r>
      <w:r w:rsidRPr="000630B5" w:rsidR="000630B5">
        <w:t>’</w:t>
      </w:r>
      <w:r w:rsidRPr="000630B5">
        <w:t>s judgment. Lastly, she appealed against the High Court</w:t>
      </w:r>
      <w:r w:rsidRPr="000630B5" w:rsidR="000630B5">
        <w:t>’</w:t>
      </w:r>
      <w:r w:rsidRPr="000630B5">
        <w:t xml:space="preserve">s decision on </w:t>
      </w:r>
      <w:r w:rsidRPr="000630B5" w:rsidR="00984F29">
        <w:t>litigation costs</w:t>
      </w:r>
      <w:r w:rsidRPr="000630B5">
        <w:t>. The defendant</w:t>
      </w:r>
      <w:r w:rsidRPr="000630B5" w:rsidR="000630B5">
        <w:t>’</w:t>
      </w:r>
      <w:r w:rsidRPr="000630B5">
        <w:t xml:space="preserve">s counsel </w:t>
      </w:r>
      <w:r w:rsidRPr="000630B5" w:rsidR="007B7985">
        <w:t xml:space="preserve">charged </w:t>
      </w:r>
      <w:r w:rsidRPr="000630B5" w:rsidR="008116E2">
        <w:t xml:space="preserve">an hourly rate </w:t>
      </w:r>
      <w:r w:rsidRPr="000630B5">
        <w:t>of up to NOK 3,900 (approximately EUR 410)</w:t>
      </w:r>
      <w:r w:rsidRPr="000630B5" w:rsidR="007B7985">
        <w:t xml:space="preserve">, </w:t>
      </w:r>
      <w:r w:rsidRPr="000630B5">
        <w:t>which was so high that there would be a chilling effect on individuals</w:t>
      </w:r>
      <w:r w:rsidRPr="000630B5" w:rsidR="000630B5">
        <w:t>’</w:t>
      </w:r>
      <w:r w:rsidRPr="000630B5">
        <w:t xml:space="preserve"> willingness to challenge violations of Article 8 of the Convention.</w:t>
      </w:r>
    </w:p>
    <w:p w:rsidRPr="000630B5" w:rsidR="00C82108"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42</w:t>
      </w:r>
      <w:r w:rsidRPr="000630B5">
        <w:fldChar w:fldCharType="end"/>
      </w:r>
      <w:r w:rsidRPr="000630B5">
        <w:t>.  On 7 February 2014 the Supreme Court</w:t>
      </w:r>
      <w:r w:rsidRPr="000630B5" w:rsidR="000630B5">
        <w:t>’</w:t>
      </w:r>
      <w:r w:rsidRPr="000630B5">
        <w:t>s Appeals Leave Committee (</w:t>
      </w:r>
      <w:r w:rsidRPr="000630B5">
        <w:rPr>
          <w:i/>
        </w:rPr>
        <w:t>Høyesteretts ankeutvalg</w:t>
      </w:r>
      <w:r w:rsidRPr="000630B5">
        <w:t xml:space="preserve">) </w:t>
      </w:r>
      <w:r w:rsidRPr="000630B5" w:rsidR="008116E2">
        <w:t>refused the applicant</w:t>
      </w:r>
      <w:r w:rsidRPr="000630B5">
        <w:t xml:space="preserve"> leave to appeal against either the High Court</w:t>
      </w:r>
      <w:r w:rsidRPr="000630B5" w:rsidR="000630B5">
        <w:t>’</w:t>
      </w:r>
      <w:r w:rsidRPr="000630B5">
        <w:t>s judgment as a whole or against its decision on legal costs.</w:t>
      </w:r>
    </w:p>
    <w:p w:rsidRPr="000630B5" w:rsidR="00014566" w:rsidP="000630B5" w:rsidRDefault="00014566">
      <w:pPr>
        <w:pStyle w:val="ECHRHeading1"/>
      </w:pPr>
      <w:r w:rsidRPr="000630B5">
        <w:t xml:space="preserve">II.  RELEVANT </w:t>
      </w:r>
      <w:r w:rsidRPr="000630B5" w:rsidR="00E7612E">
        <w:t>DOM</w:t>
      </w:r>
      <w:r w:rsidRPr="000630B5" w:rsidR="00D22CBA">
        <w:t>E</w:t>
      </w:r>
      <w:r w:rsidRPr="000630B5" w:rsidR="00E7612E">
        <w:t>STIC LAW</w:t>
      </w:r>
    </w:p>
    <w:p w:rsidRPr="000630B5" w:rsidR="00C82108"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43</w:t>
      </w:r>
      <w:r w:rsidRPr="000630B5">
        <w:fldChar w:fldCharType="end"/>
      </w:r>
      <w:r w:rsidRPr="000630B5">
        <w:t>.  The relevant provisions of the Penal Code of 22 May 1902 (</w:t>
      </w:r>
      <w:r w:rsidRPr="000630B5">
        <w:rPr>
          <w:i/>
        </w:rPr>
        <w:t>straffeloven</w:t>
      </w:r>
      <w:r w:rsidRPr="000630B5">
        <w:t>)</w:t>
      </w:r>
      <w:r w:rsidRPr="000630B5" w:rsidR="00A6212D">
        <w:t xml:space="preserve">, in force at the </w:t>
      </w:r>
      <w:r w:rsidRPr="000630B5" w:rsidR="00164013">
        <w:t>relevant</w:t>
      </w:r>
      <w:r w:rsidRPr="000630B5" w:rsidR="00A6212D">
        <w:t xml:space="preserve"> time,</w:t>
      </w:r>
      <w:r w:rsidRPr="000630B5">
        <w:t xml:space="preserve"> </w:t>
      </w:r>
      <w:r w:rsidRPr="000630B5" w:rsidR="00227CA3">
        <w:t>provided</w:t>
      </w:r>
      <w:r w:rsidRPr="000630B5">
        <w:t xml:space="preserve"> as follows:</w:t>
      </w:r>
    </w:p>
    <w:p w:rsidRPr="000630B5" w:rsidR="00C82108" w:rsidP="000630B5" w:rsidRDefault="00C82108">
      <w:pPr>
        <w:pStyle w:val="ECHRTitleCentre3"/>
      </w:pPr>
      <w:r w:rsidRPr="000630B5">
        <w:t>Article 246</w:t>
      </w:r>
    </w:p>
    <w:p w:rsidRPr="000630B5" w:rsidR="00C82108" w:rsidP="000630B5" w:rsidRDefault="002D0884">
      <w:pPr>
        <w:pStyle w:val="JuQuotSub"/>
      </w:pPr>
      <w:r w:rsidRPr="000630B5">
        <w:t>“</w:t>
      </w:r>
      <w:r w:rsidRPr="000630B5" w:rsidR="00C82108">
        <w:t>Any person who by</w:t>
      </w:r>
      <w:r w:rsidRPr="000630B5" w:rsidR="00343A70">
        <w:t xml:space="preserve"> </w:t>
      </w:r>
      <w:r w:rsidRPr="000630B5" w:rsidR="00C82108">
        <w:t>word</w:t>
      </w:r>
      <w:r w:rsidRPr="000630B5" w:rsidR="00343A70">
        <w:t>s</w:t>
      </w:r>
      <w:r w:rsidRPr="000630B5" w:rsidR="00C82108">
        <w:t xml:space="preserve"> or deed</w:t>
      </w:r>
      <w:r w:rsidRPr="000630B5" w:rsidR="00A4536F">
        <w:t>s</w:t>
      </w:r>
      <w:r w:rsidRPr="000630B5" w:rsidR="00C82108">
        <w:t xml:space="preserve"> unlawfully defames another person, or</w:t>
      </w:r>
      <w:r w:rsidRPr="000630B5" w:rsidR="007A066F">
        <w:t xml:space="preserve"> who</w:t>
      </w:r>
      <w:r w:rsidRPr="000630B5" w:rsidR="00C82108">
        <w:t xml:space="preserve"> aids and abets thereto, shall be liable to</w:t>
      </w:r>
      <w:r w:rsidRPr="000630B5" w:rsidR="00492721">
        <w:t xml:space="preserve"> a</w:t>
      </w:r>
      <w:r w:rsidRPr="000630B5" w:rsidR="00C82108">
        <w:t xml:space="preserve"> fine or imprisonment </w:t>
      </w:r>
      <w:r w:rsidRPr="000630B5" w:rsidR="00521233">
        <w:t xml:space="preserve">for </w:t>
      </w:r>
      <w:r w:rsidRPr="000630B5" w:rsidR="00343A70">
        <w:t>up to</w:t>
      </w:r>
      <w:r w:rsidRPr="000630B5" w:rsidR="00C82108">
        <w:t xml:space="preserve"> six months.</w:t>
      </w:r>
      <w:r w:rsidRPr="000630B5">
        <w:t>”</w:t>
      </w:r>
    </w:p>
    <w:p w:rsidRPr="000630B5" w:rsidR="00C82108" w:rsidP="000630B5" w:rsidRDefault="00C82108">
      <w:pPr>
        <w:pStyle w:val="ECHRTitleCentre3"/>
      </w:pPr>
      <w:r w:rsidRPr="000630B5">
        <w:t>Article 247</w:t>
      </w:r>
    </w:p>
    <w:p w:rsidRPr="000630B5" w:rsidR="00C82108" w:rsidP="000630B5" w:rsidRDefault="002D0884">
      <w:pPr>
        <w:pStyle w:val="JuQuotSub"/>
      </w:pPr>
      <w:r w:rsidRPr="000630B5">
        <w:t>“</w:t>
      </w:r>
      <w:r w:rsidRPr="000630B5" w:rsidR="00C82108">
        <w:t>Any person who by word</w:t>
      </w:r>
      <w:r w:rsidRPr="000630B5" w:rsidR="00521233">
        <w:t>s</w:t>
      </w:r>
      <w:r w:rsidRPr="000630B5" w:rsidR="00C82108">
        <w:t xml:space="preserve"> or deed</w:t>
      </w:r>
      <w:r w:rsidRPr="000630B5" w:rsidR="00A4536F">
        <w:t>s</w:t>
      </w:r>
      <w:r w:rsidRPr="000630B5" w:rsidR="00C82108">
        <w:t xml:space="preserve"> behaves in a manner that is likely to harm another person</w:t>
      </w:r>
      <w:r w:rsidRPr="000630B5" w:rsidR="000630B5">
        <w:t>’</w:t>
      </w:r>
      <w:r w:rsidRPr="000630B5" w:rsidR="00C82108">
        <w:t xml:space="preserve">s good name and reputation or to expose him to hatred, contempt or loss of the </w:t>
      </w:r>
      <w:r w:rsidRPr="000630B5" w:rsidR="00521233">
        <w:t xml:space="preserve">trust </w:t>
      </w:r>
      <w:r w:rsidRPr="000630B5" w:rsidR="00C82108">
        <w:t>necessary for his position or business, or who aids and abets thereto, shall be liable to</w:t>
      </w:r>
      <w:r w:rsidRPr="000630B5" w:rsidR="00492721">
        <w:t xml:space="preserve"> a</w:t>
      </w:r>
      <w:r w:rsidRPr="000630B5" w:rsidR="00C82108">
        <w:t xml:space="preserve"> fine or imprisonment </w:t>
      </w:r>
      <w:r w:rsidRPr="000630B5" w:rsidR="00521233">
        <w:t>for up to</w:t>
      </w:r>
      <w:r w:rsidRPr="000630B5" w:rsidR="00C82108">
        <w:t xml:space="preserve"> one year. If the defamation is committed in print or in broadcasting or otherwise under especially aggravating circumstances, imprisonment </w:t>
      </w:r>
      <w:r w:rsidRPr="000630B5" w:rsidR="00521233">
        <w:t>for up to</w:t>
      </w:r>
      <w:r w:rsidRPr="000630B5" w:rsidR="00C82108">
        <w:t xml:space="preserve"> two years may be imposed.”</w:t>
      </w:r>
    </w:p>
    <w:p w:rsidRPr="000630B5" w:rsidR="00C82108" w:rsidP="000630B5" w:rsidRDefault="00C82108">
      <w:pPr>
        <w:pStyle w:val="ECHRPara"/>
      </w:pPr>
      <w:r w:rsidRPr="000630B5">
        <w:t xml:space="preserve">A limitation to the applicability of Article 247 </w:t>
      </w:r>
      <w:r w:rsidRPr="000630B5" w:rsidR="00591338">
        <w:t xml:space="preserve">arose </w:t>
      </w:r>
      <w:r w:rsidRPr="000630B5">
        <w:t xml:space="preserve">from the requirement that the expression </w:t>
      </w:r>
      <w:r w:rsidRPr="000630B5" w:rsidR="00343A70">
        <w:t xml:space="preserve">had to </w:t>
      </w:r>
      <w:r w:rsidRPr="000630B5">
        <w:t>be unlawful (</w:t>
      </w:r>
      <w:r w:rsidRPr="000630B5">
        <w:rPr>
          <w:i/>
        </w:rPr>
        <w:t>rettsstridig</w:t>
      </w:r>
      <w:r w:rsidRPr="000630B5">
        <w:t>). While this was expressly stated in Article 246, Article 247 had been interpreted by the Supreme Court to include such a requirement.</w:t>
      </w:r>
    </w:p>
    <w:p w:rsidRPr="000630B5" w:rsidR="00911DF6" w:rsidP="000630B5" w:rsidRDefault="00911DF6">
      <w:pPr>
        <w:pStyle w:val="ECHRTitleCentre3"/>
      </w:pPr>
      <w:r w:rsidRPr="000630B5">
        <w:t>Article 390a</w:t>
      </w:r>
    </w:p>
    <w:p w:rsidRPr="000630B5" w:rsidR="00911DF6" w:rsidP="000630B5" w:rsidRDefault="00911DF6">
      <w:pPr>
        <w:pStyle w:val="ECHRParaQuote"/>
      </w:pPr>
      <w:r w:rsidRPr="000630B5">
        <w:t>“Any person who by frightening or annoying behaviour or other inconsiderate conduct violates another person</w:t>
      </w:r>
      <w:r w:rsidRPr="000630B5" w:rsidR="000630B5">
        <w:t>’</w:t>
      </w:r>
      <w:r w:rsidRPr="000630B5">
        <w:t xml:space="preserve">s right to </w:t>
      </w:r>
      <w:r w:rsidRPr="000630B5" w:rsidR="00C37080">
        <w:t>privacy</w:t>
      </w:r>
      <w:r w:rsidRPr="000630B5">
        <w:t>, or who aids and abets thereto, shall be liable to</w:t>
      </w:r>
      <w:r w:rsidRPr="000630B5" w:rsidR="00591338">
        <w:t xml:space="preserve"> a</w:t>
      </w:r>
      <w:r w:rsidRPr="000630B5">
        <w:t xml:space="preserve"> fine or imprisonment for </w:t>
      </w:r>
      <w:r w:rsidRPr="000630B5" w:rsidR="00591338">
        <w:t>up to</w:t>
      </w:r>
      <w:r w:rsidRPr="000630B5">
        <w:t xml:space="preserve"> two years.</w:t>
      </w:r>
      <w:r w:rsidRPr="000630B5" w:rsidR="00AE01FB">
        <w:t xml:space="preserve"> </w:t>
      </w:r>
      <w:r w:rsidRPr="000630B5" w:rsidR="00EA3C01">
        <w:t>...</w:t>
      </w:r>
      <w:r w:rsidRPr="000630B5">
        <w:t>”</w:t>
      </w:r>
    </w:p>
    <w:p w:rsidRPr="000630B5" w:rsidR="00126718" w:rsidP="000630B5" w:rsidRDefault="00126718">
      <w:pPr>
        <w:pStyle w:val="ECHRPara"/>
      </w:pPr>
      <w:r w:rsidRPr="000630B5">
        <w:fldChar w:fldCharType="begin"/>
      </w:r>
      <w:r w:rsidRPr="000630B5">
        <w:instrText xml:space="preserve"> SEQ level0 \*arabic </w:instrText>
      </w:r>
      <w:r w:rsidRPr="000630B5">
        <w:fldChar w:fldCharType="separate"/>
      </w:r>
      <w:r w:rsidRPr="000630B5" w:rsidR="000630B5">
        <w:rPr>
          <w:noProof/>
        </w:rPr>
        <w:t>44</w:t>
      </w:r>
      <w:r w:rsidRPr="000630B5">
        <w:fldChar w:fldCharType="end"/>
      </w:r>
      <w:r w:rsidRPr="000630B5">
        <w:t>.  Section 3-6 of the Compensation Act of 13 June 1969 (</w:t>
      </w:r>
      <w:r w:rsidRPr="000630B5">
        <w:rPr>
          <w:i/>
        </w:rPr>
        <w:t>skadeserstatningsloven</w:t>
      </w:r>
      <w:r w:rsidRPr="000630B5">
        <w:t>) reads:</w:t>
      </w:r>
    </w:p>
    <w:p w:rsidRPr="000630B5" w:rsidR="00126718" w:rsidP="000630B5" w:rsidRDefault="00126718">
      <w:pPr>
        <w:pStyle w:val="JuQuotSub"/>
      </w:pPr>
      <w:r w:rsidRPr="000630B5">
        <w:t>“Anybody who commits libel or slander or infringes the privacy of another person shall, if he has been negligent or the conditions for imposing a punishment are fulfilled, pay compensation for the damage sustained and such compensation for loss of future earnings as the court finds reasonable with due regard to the degree of guilt and other circumstances. He may also be ordered to pay such compensation (redress) for non-pecuniary damage as the court finds reasonable.</w:t>
      </w:r>
    </w:p>
    <w:p w:rsidRPr="000630B5" w:rsidR="00126718" w:rsidP="000630B5" w:rsidRDefault="00126718">
      <w:pPr>
        <w:pStyle w:val="JuQuotSub"/>
      </w:pPr>
      <w:r w:rsidRPr="000630B5">
        <w:t>If the offence takes the form of libel, and anybody who has acted in the service of the owner or publisher of the printed matter is responsible under the preceding paragraph, the owner and publisher shall also be liable to compensation. The same rule applies to any redress imposed under the preceding paragraph, unless the court for special reasons decides to exempt them. The owner or publisher may also be ordered to pay such additional redress as the court finds reasonable in respect of them. The Norwegian Broadcasting Corporation is similarly liable when anybody acting in its service is responsible under the preceding paragraph for a broadcast. The same rule applies to any other broadcasting institution.</w:t>
      </w:r>
    </w:p>
    <w:p w:rsidRPr="000630B5" w:rsidR="00126718" w:rsidP="000630B5" w:rsidRDefault="00126718">
      <w:pPr>
        <w:pStyle w:val="JuQuotSub"/>
      </w:pPr>
      <w:r w:rsidRPr="000630B5">
        <w:t>In pronouncing a judgment which imposes a punishment or declares a statement void, the court may order the defendant to pay the victim an amount covering the costs of publishing the judgment. The same rule applies in the case of any conviction under § 130 of the General Civil Penal Code. ...”</w:t>
      </w:r>
    </w:p>
    <w:p w:rsidRPr="000630B5" w:rsidR="000549EA" w:rsidP="000630B5" w:rsidRDefault="000549EA">
      <w:pPr>
        <w:pStyle w:val="ECHRPara"/>
      </w:pPr>
      <w:r w:rsidRPr="000630B5">
        <w:fldChar w:fldCharType="begin"/>
      </w:r>
      <w:r w:rsidRPr="000630B5">
        <w:instrText xml:space="preserve"> SEQ level0 \*arabic </w:instrText>
      </w:r>
      <w:r w:rsidRPr="000630B5">
        <w:fldChar w:fldCharType="separate"/>
      </w:r>
      <w:r w:rsidRPr="000630B5" w:rsidR="000630B5">
        <w:rPr>
          <w:noProof/>
        </w:rPr>
        <w:t>45</w:t>
      </w:r>
      <w:r w:rsidRPr="000630B5">
        <w:fldChar w:fldCharType="end"/>
      </w:r>
      <w:r w:rsidRPr="000630B5">
        <w:t>.  Section 18 of the E-Commerce Act of 23 May 2003 (</w:t>
      </w:r>
      <w:r w:rsidRPr="000630B5">
        <w:rPr>
          <w:i/>
        </w:rPr>
        <w:t>ehandelsloven</w:t>
      </w:r>
      <w:r w:rsidRPr="000630B5">
        <w:t>) reads:</w:t>
      </w:r>
    </w:p>
    <w:p w:rsidRPr="000630B5" w:rsidR="00EA3C01" w:rsidP="000630B5" w:rsidRDefault="000549EA">
      <w:pPr>
        <w:pStyle w:val="ECHRTitleCentre3"/>
      </w:pPr>
      <w:r w:rsidRPr="000630B5">
        <w:t>Section 18</w:t>
      </w:r>
    </w:p>
    <w:p w:rsidRPr="000630B5" w:rsidR="000549EA" w:rsidP="000630B5" w:rsidRDefault="000549EA">
      <w:pPr>
        <w:pStyle w:val="ECHRTitleCentre3"/>
        <w:rPr>
          <w:i/>
        </w:rPr>
      </w:pPr>
      <w:r w:rsidRPr="000630B5">
        <w:rPr>
          <w:i/>
        </w:rPr>
        <w:t>Exemption from liability for certain storage services</w:t>
      </w:r>
    </w:p>
    <w:p w:rsidRPr="000630B5" w:rsidR="000549EA" w:rsidP="000630B5" w:rsidRDefault="000549EA">
      <w:pPr>
        <w:pStyle w:val="ECHRParaQuote"/>
      </w:pPr>
      <w:r w:rsidRPr="000630B5">
        <w:t>“A service provider who stores information at the request of a service recipient, may only</w:t>
      </w:r>
    </w:p>
    <w:p w:rsidRPr="000630B5" w:rsidR="000549EA" w:rsidP="000630B5" w:rsidRDefault="000549EA">
      <w:pPr>
        <w:pStyle w:val="ECHRParaQuote"/>
      </w:pPr>
      <w:r w:rsidRPr="000630B5">
        <w:t>(a) be punished for storing unlawful information or contribution to unlawful activities by storing unlawful information if he has acted with intent, or</w:t>
      </w:r>
    </w:p>
    <w:p w:rsidRPr="000630B5" w:rsidR="000549EA" w:rsidP="000630B5" w:rsidRDefault="000549EA">
      <w:pPr>
        <w:pStyle w:val="ECHRParaQuote"/>
      </w:pPr>
      <w:r w:rsidRPr="000630B5">
        <w:t>(b) be held liable to pay compensation for storing unlawful information or contribution to unlawful activities by storing unlawful information if he has acted with intent or gross negligence.</w:t>
      </w:r>
    </w:p>
    <w:p w:rsidRPr="000630B5" w:rsidR="000549EA" w:rsidP="000630B5" w:rsidRDefault="000549EA">
      <w:pPr>
        <w:pStyle w:val="ECHRParaQuote"/>
      </w:pPr>
      <w:r w:rsidRPr="000630B5">
        <w:t>The service provider is in any event exempt from criminal or civil liability if he without undue delay takes necessary measures to remove or block access to the information upon the intent or gross negligence under the first paragraph having appeared.</w:t>
      </w:r>
    </w:p>
    <w:p w:rsidRPr="000630B5" w:rsidR="000549EA" w:rsidP="000630B5" w:rsidRDefault="000549EA">
      <w:pPr>
        <w:pStyle w:val="ECHRParaQuote"/>
      </w:pPr>
      <w:r w:rsidRPr="000630B5">
        <w:t>A service provider is not exempt from liability pursuant to this section if the service recipient is acting on behalf of the service provider or under his control.”</w:t>
      </w:r>
    </w:p>
    <w:p w:rsidRPr="000630B5" w:rsidR="000549EA" w:rsidP="000630B5" w:rsidRDefault="000549EA">
      <w:pPr>
        <w:pStyle w:val="ECHRPara"/>
      </w:pPr>
      <w:r w:rsidRPr="000630B5">
        <w:fldChar w:fldCharType="begin"/>
      </w:r>
      <w:r w:rsidRPr="000630B5">
        <w:instrText xml:space="preserve"> SEQ level0 \*arabic </w:instrText>
      </w:r>
      <w:r w:rsidRPr="000630B5">
        <w:fldChar w:fldCharType="separate"/>
      </w:r>
      <w:r w:rsidRPr="000630B5" w:rsidR="000630B5">
        <w:rPr>
          <w:noProof/>
        </w:rPr>
        <w:t>46</w:t>
      </w:r>
      <w:r w:rsidRPr="000630B5">
        <w:fldChar w:fldCharType="end"/>
      </w:r>
      <w:r w:rsidRPr="000630B5">
        <w:t xml:space="preserve">.  The two first paragraphs of section 8a </w:t>
      </w:r>
      <w:r w:rsidRPr="000630B5" w:rsidR="00EA3C01">
        <w:t>of the Gender Equality Act of 9 </w:t>
      </w:r>
      <w:r w:rsidRPr="000630B5">
        <w:t>June 1978 (</w:t>
      </w:r>
      <w:r w:rsidRPr="000630B5">
        <w:rPr>
          <w:i/>
        </w:rPr>
        <w:t>likestillingsloven</w:t>
      </w:r>
      <w:r w:rsidRPr="000630B5">
        <w:t>), in force at the relevant time, provided:</w:t>
      </w:r>
    </w:p>
    <w:p w:rsidRPr="000630B5" w:rsidR="000549EA" w:rsidP="000630B5" w:rsidRDefault="000549EA">
      <w:pPr>
        <w:pStyle w:val="ECHRTitleCentre3"/>
      </w:pPr>
      <w:r w:rsidRPr="000630B5">
        <w:t>Section 8a (Harassment on the basis of gender and sexual harassment)</w:t>
      </w:r>
    </w:p>
    <w:p w:rsidRPr="000630B5" w:rsidR="000549EA" w:rsidP="000630B5" w:rsidRDefault="000549EA">
      <w:pPr>
        <w:pStyle w:val="ECHRParaQuote"/>
      </w:pPr>
      <w:r w:rsidRPr="000630B5">
        <w:t>“Harassment on the basis of gender and sexual harassment is not permitted.</w:t>
      </w:r>
    </w:p>
    <w:p w:rsidRPr="000630B5" w:rsidR="000549EA" w:rsidP="000630B5" w:rsidRDefault="000630B5">
      <w:pPr>
        <w:pStyle w:val="ECHRParaQuote"/>
        <w:rPr>
          <w:rFonts w:hint="eastAsia" w:ascii="Open Sans" w:hAnsi="Open Sans"/>
          <w:color w:val="000000"/>
        </w:rPr>
      </w:pPr>
      <w:r w:rsidRPr="000630B5">
        <w:t>‘</w:t>
      </w:r>
      <w:r w:rsidRPr="000630B5" w:rsidR="000549EA">
        <w:t>Harassment on the basis of gender</w:t>
      </w:r>
      <w:r w:rsidRPr="000630B5">
        <w:t>’</w:t>
      </w:r>
      <w:r w:rsidRPr="000630B5" w:rsidR="000549EA">
        <w:t xml:space="preserve"> means unwanted behaviour connected to a person</w:t>
      </w:r>
      <w:r w:rsidRPr="000630B5">
        <w:t>’</w:t>
      </w:r>
      <w:r w:rsidRPr="000630B5" w:rsidR="000549EA">
        <w:t>s gender and which has the effect or as purpose to harm another person</w:t>
      </w:r>
      <w:r w:rsidRPr="000630B5">
        <w:t>’</w:t>
      </w:r>
      <w:r w:rsidRPr="000630B5" w:rsidR="000549EA">
        <w:t xml:space="preserve">s dignity. </w:t>
      </w:r>
      <w:r w:rsidRPr="000630B5">
        <w:t>‘</w:t>
      </w:r>
      <w:r w:rsidRPr="000630B5" w:rsidR="000549EA">
        <w:t>Sexual harassment</w:t>
      </w:r>
      <w:r w:rsidRPr="000630B5">
        <w:t>’</w:t>
      </w:r>
      <w:r w:rsidRPr="000630B5" w:rsidR="000549EA">
        <w:t xml:space="preserve"> means unwanted </w:t>
      </w:r>
      <w:r w:rsidRPr="000630B5" w:rsidR="000549EA">
        <w:rPr>
          <w:rFonts w:ascii="Open Sans" w:hAnsi="Open Sans"/>
          <w:color w:val="000000"/>
        </w:rPr>
        <w:t>sexual attention that is troublesome to the person receiving the attention.</w:t>
      </w:r>
      <w:r w:rsidRPr="000630B5" w:rsidR="000549EA">
        <w:rPr>
          <w:rFonts w:hint="eastAsia" w:ascii="Open Sans" w:hAnsi="Open Sans"/>
          <w:color w:val="000000"/>
        </w:rPr>
        <w:t>”</w:t>
      </w:r>
    </w:p>
    <w:p w:rsidRPr="000630B5" w:rsidR="000549EA" w:rsidP="000630B5" w:rsidRDefault="000549EA">
      <w:pPr>
        <w:pStyle w:val="ECHRPara"/>
        <w:rPr>
          <w:rFonts w:hint="eastAsia" w:ascii="Open Sans" w:hAnsi="Open Sans"/>
          <w:color w:val="000000"/>
        </w:rPr>
      </w:pPr>
      <w:r w:rsidRPr="000630B5">
        <w:rPr>
          <w:rFonts w:ascii="Open Sans" w:hAnsi="Open Sans"/>
          <w:color w:val="000000"/>
        </w:rPr>
        <w:t>Pursuant to the second paragraph of section 17, the general rules on civil liability applied to intentional or negligent infringements of the Gender Equality Act.</w:t>
      </w:r>
    </w:p>
    <w:p w:rsidRPr="000630B5" w:rsidR="000549EA" w:rsidP="000630B5" w:rsidRDefault="000549EA">
      <w:pPr>
        <w:pStyle w:val="ECHRPara"/>
      </w:pPr>
      <w:r w:rsidRPr="000630B5">
        <w:fldChar w:fldCharType="begin"/>
      </w:r>
      <w:r w:rsidRPr="000630B5">
        <w:instrText xml:space="preserve"> SEQ level0 \*arabic </w:instrText>
      </w:r>
      <w:r w:rsidRPr="000630B5">
        <w:fldChar w:fldCharType="separate"/>
      </w:r>
      <w:r w:rsidRPr="000630B5" w:rsidR="000630B5">
        <w:rPr>
          <w:noProof/>
        </w:rPr>
        <w:t>47</w:t>
      </w:r>
      <w:r w:rsidRPr="000630B5">
        <w:fldChar w:fldCharType="end"/>
      </w:r>
      <w:r w:rsidRPr="000630B5">
        <w:t>.  The relevant sections of the Dispute Act of 17 June 2005 (</w:t>
      </w:r>
      <w:r w:rsidRPr="000630B5">
        <w:rPr>
          <w:i/>
        </w:rPr>
        <w:t>tvisteloven</w:t>
      </w:r>
      <w:r w:rsidRPr="000630B5">
        <w:t>) read:</w:t>
      </w:r>
    </w:p>
    <w:p w:rsidRPr="000630B5" w:rsidR="000549EA" w:rsidP="000630B5" w:rsidRDefault="000549EA">
      <w:pPr>
        <w:pStyle w:val="ECHRTitleCentre3"/>
      </w:pPr>
      <w:r w:rsidRPr="000630B5">
        <w:t>Section 20-2 Award of costs to the successful party</w:t>
      </w:r>
    </w:p>
    <w:p w:rsidRPr="000630B5" w:rsidR="000549EA" w:rsidP="000630B5" w:rsidRDefault="000549EA">
      <w:pPr>
        <w:pStyle w:val="JuQuotSub"/>
      </w:pPr>
      <w:r w:rsidRPr="000630B5">
        <w:t>“(1) A party who is successful in an action is entitled to full compensation for his legal costs from the opposing party. ...</w:t>
      </w:r>
    </w:p>
    <w:p w:rsidRPr="000630B5" w:rsidR="000549EA" w:rsidP="000630B5" w:rsidRDefault="000549EA">
      <w:pPr>
        <w:pStyle w:val="JuQuotSub"/>
      </w:pPr>
      <w:r w:rsidRPr="000630B5">
        <w:t>(3) The court may exempt the opposing party from liability for legal costs in whole or in part if the court finds that there are compelling grounds to justify an exemption. The court shall, in particular, have regard to:</w:t>
      </w:r>
    </w:p>
    <w:p w:rsidRPr="000630B5" w:rsidR="000549EA" w:rsidP="000630B5" w:rsidRDefault="000549EA">
      <w:pPr>
        <w:pStyle w:val="JuQuotSub"/>
      </w:pPr>
      <w:r w:rsidRPr="000630B5">
        <w:t>(a) whether there was justifiable cause to have the case heard because the case was uncertain or because the evidence was clarified only after the action was brought,</w:t>
      </w:r>
    </w:p>
    <w:p w:rsidRPr="000630B5" w:rsidR="000549EA" w:rsidP="000630B5" w:rsidRDefault="000549EA">
      <w:pPr>
        <w:pStyle w:val="JuQuotSub"/>
      </w:pPr>
      <w:r w:rsidRPr="000630B5">
        <w:t>(b) whether the successful party can be reproached for bringing the action or whether he has rejected a reasonable offer of settlement, or</w:t>
      </w:r>
    </w:p>
    <w:p w:rsidRPr="000630B5" w:rsidR="000549EA" w:rsidP="000630B5" w:rsidRDefault="000549EA">
      <w:pPr>
        <w:pStyle w:val="JuQuotSub"/>
      </w:pPr>
      <w:r w:rsidRPr="000630B5">
        <w:t>(c) whether the case is important to the welfare of the party and the relative strength of the parties justifies an exemption.”</w:t>
      </w:r>
    </w:p>
    <w:p w:rsidRPr="000630B5" w:rsidR="00EA3C01" w:rsidP="000630B5" w:rsidRDefault="000549EA">
      <w:pPr>
        <w:pStyle w:val="ECHRTitleCentre3"/>
      </w:pPr>
      <w:r w:rsidRPr="000630B5">
        <w:t>Section 20-5</w:t>
      </w:r>
    </w:p>
    <w:p w:rsidRPr="000630B5" w:rsidR="000549EA" w:rsidP="000630B5" w:rsidRDefault="000549EA">
      <w:pPr>
        <w:pStyle w:val="ECHRTitleCentre3"/>
        <w:rPr>
          <w:i/>
        </w:rPr>
      </w:pPr>
      <w:r w:rsidRPr="000630B5">
        <w:rPr>
          <w:i/>
        </w:rPr>
        <w:t>Assessment of compensation for costs</w:t>
      </w:r>
    </w:p>
    <w:p w:rsidRPr="000630B5" w:rsidR="000549EA" w:rsidP="000630B5" w:rsidRDefault="000549EA">
      <w:pPr>
        <w:pStyle w:val="JuQuotSub"/>
      </w:pPr>
      <w:r w:rsidRPr="000630B5">
        <w:t>“(1) Full compensation for costs shall cover all necessary costs incurred by the party in relation to the action, unless there is cause to exclude the costs pursuant to special provisions. In assessing whether costs have been necessary, the court shall have regard to whether it was reasonable to incur them in view of the importance of the case. The party may claim reasonable remuneration for his own work on the case if the work has been particularly extensive or would otherwise have had to be undertaken by counsel or another qualified assistant. ...</w:t>
      </w:r>
    </w:p>
    <w:p w:rsidRPr="000630B5" w:rsidR="000549EA" w:rsidP="000630B5" w:rsidRDefault="000549EA">
      <w:pPr>
        <w:pStyle w:val="JuQuotSub"/>
      </w:pPr>
      <w:r w:rsidRPr="000630B5">
        <w:t>(3) In cases that are decided following an oral hearing, a party who claims costs shall submit a statement of costs. The statement shall be submitted at the conclusion of the court hearing. If the amount of some items is unknown, the statement shall be supplemented within the time-limit fixed by the court. Items of expenditure shall be specified so as to give the court an adequate basis upon which to make an assessment. Lawyers</w:t>
      </w:r>
      <w:r w:rsidRPr="000630B5" w:rsidR="000630B5">
        <w:t>’</w:t>
      </w:r>
      <w:r w:rsidRPr="000630B5">
        <w:t xml:space="preserve"> fees shall always state the amount and number of hours related to the following stages of the case:</w:t>
      </w:r>
    </w:p>
    <w:p w:rsidRPr="000630B5" w:rsidR="000549EA" w:rsidP="000630B5" w:rsidRDefault="000549EA">
      <w:pPr>
        <w:pStyle w:val="JuQuotSub"/>
      </w:pPr>
      <w:r w:rsidRPr="000630B5">
        <w:t>(a) the period up to the submission of a writ of summons or reply, alternatively notice of appeal and reply to notice of appeal,</w:t>
      </w:r>
    </w:p>
    <w:p w:rsidRPr="000630B5" w:rsidR="000549EA" w:rsidP="000630B5" w:rsidRDefault="000549EA">
      <w:pPr>
        <w:pStyle w:val="JuQuotSub"/>
      </w:pPr>
      <w:r w:rsidRPr="000630B5">
        <w:t>(b) the period up to the start of the main hearing or oral finalisation of the case, alternatively the appeal hearing, and</w:t>
      </w:r>
    </w:p>
    <w:p w:rsidRPr="000630B5" w:rsidR="000549EA" w:rsidP="000630B5" w:rsidRDefault="000549EA">
      <w:pPr>
        <w:pStyle w:val="JuQuotSub"/>
      </w:pPr>
      <w:r w:rsidRPr="000630B5">
        <w:t>(c) the period up to the conclusion of the case at the current instance. ...”</w:t>
      </w:r>
    </w:p>
    <w:p w:rsidRPr="000630B5" w:rsidR="00014566" w:rsidP="000630B5" w:rsidRDefault="00014566">
      <w:pPr>
        <w:pStyle w:val="ECHRTitle1"/>
      </w:pPr>
      <w:r w:rsidRPr="000630B5">
        <w:t>THE LAW</w:t>
      </w:r>
    </w:p>
    <w:p w:rsidRPr="000630B5" w:rsidR="00014566" w:rsidP="000630B5" w:rsidRDefault="00014566">
      <w:pPr>
        <w:pStyle w:val="ECHRHeading1"/>
      </w:pPr>
      <w:r w:rsidRPr="000630B5">
        <w:t xml:space="preserve">ALLEGED VIOLATION OF ARTICLE </w:t>
      </w:r>
      <w:r w:rsidRPr="000630B5" w:rsidR="00C82108">
        <w:t>8</w:t>
      </w:r>
      <w:r w:rsidRPr="000630B5">
        <w:t xml:space="preserve"> OF THE CONVENTION</w:t>
      </w:r>
    </w:p>
    <w:p w:rsidRPr="000630B5" w:rsidR="00014566"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48</w:t>
      </w:r>
      <w:r w:rsidRPr="000630B5">
        <w:fldChar w:fldCharType="end"/>
      </w:r>
      <w:r w:rsidRPr="000630B5" w:rsidR="00014566">
        <w:t xml:space="preserve">.  The applicant complained </w:t>
      </w:r>
      <w:r w:rsidRPr="000630B5">
        <w:t xml:space="preserve">that the </w:t>
      </w:r>
      <w:r w:rsidRPr="000630B5" w:rsidR="007454B9">
        <w:t xml:space="preserve">domestic authorities, </w:t>
      </w:r>
      <w:r w:rsidRPr="000630B5">
        <w:t>by not sufficiently protecting her right to</w:t>
      </w:r>
      <w:r w:rsidRPr="000630B5" w:rsidR="0068371E">
        <w:t xml:space="preserve"> respect for her</w:t>
      </w:r>
      <w:r w:rsidRPr="000630B5">
        <w:t xml:space="preserve"> private life and </w:t>
      </w:r>
      <w:r w:rsidRPr="000630B5" w:rsidR="007454B9">
        <w:t>requiring her to pay</w:t>
      </w:r>
      <w:r w:rsidRPr="000630B5">
        <w:t xml:space="preserve"> litigation costs to the extent seen in her case, had acted contrary to Article 8 of the Convention, which reads as follows:</w:t>
      </w:r>
    </w:p>
    <w:p w:rsidRPr="000630B5" w:rsidR="00C82108" w:rsidP="000630B5" w:rsidRDefault="00C82108">
      <w:pPr>
        <w:pStyle w:val="ECHRParaQuote"/>
      </w:pPr>
      <w:r w:rsidRPr="000630B5">
        <w:t>“1.  Everyone has the right to respect for his private and family life, his home and his correspondence.</w:t>
      </w:r>
    </w:p>
    <w:p w:rsidRPr="000630B5" w:rsidR="00C82108" w:rsidP="000630B5" w:rsidRDefault="00C82108">
      <w:pPr>
        <w:pStyle w:val="ECHRParaQuote"/>
      </w:pPr>
      <w:r w:rsidRPr="000630B5">
        <w:t>2.  There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0630B5" w:rsidR="00014566"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49</w:t>
      </w:r>
      <w:r w:rsidRPr="000630B5">
        <w:fldChar w:fldCharType="end"/>
      </w:r>
      <w:r w:rsidRPr="000630B5" w:rsidR="00014566">
        <w:t>.  The Government contested that argument.</w:t>
      </w:r>
    </w:p>
    <w:p w:rsidRPr="000630B5" w:rsidR="00014566" w:rsidP="000630B5" w:rsidRDefault="00014566">
      <w:pPr>
        <w:pStyle w:val="ECHRHeading2"/>
      </w:pPr>
      <w:r w:rsidRPr="000630B5">
        <w:t>A.  Admissibility</w:t>
      </w:r>
    </w:p>
    <w:p w:rsidRPr="000630B5" w:rsidR="00014566"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50</w:t>
      </w:r>
      <w:r w:rsidRPr="000630B5">
        <w:fldChar w:fldCharType="end"/>
      </w:r>
      <w:r w:rsidRPr="000630B5" w:rsidR="00014566">
        <w:t>.  The Court notes that the application is not manifestly ill-founded within the meaning of Article 35 § 3 (a) of the Convention. It further notes that it is not inadmissible on any other grounds. It must therefore be declared admissible.</w:t>
      </w:r>
    </w:p>
    <w:p w:rsidRPr="000630B5" w:rsidR="00014566" w:rsidP="000630B5" w:rsidRDefault="00014566">
      <w:pPr>
        <w:pStyle w:val="ECHRHeading2"/>
      </w:pPr>
      <w:r w:rsidRPr="000630B5">
        <w:t>B.  Merits</w:t>
      </w:r>
    </w:p>
    <w:p w:rsidRPr="000630B5" w:rsidR="00C82108" w:rsidP="000630B5" w:rsidRDefault="00C82108">
      <w:pPr>
        <w:pStyle w:val="ECHRHeading3"/>
      </w:pPr>
      <w:r w:rsidRPr="000630B5">
        <w:t>1.  The parties</w:t>
      </w:r>
      <w:r w:rsidRPr="000630B5" w:rsidR="000630B5">
        <w:t>’</w:t>
      </w:r>
      <w:r w:rsidRPr="000630B5">
        <w:t xml:space="preserve"> submissions</w:t>
      </w:r>
    </w:p>
    <w:p w:rsidRPr="000630B5" w:rsidR="00033D81" w:rsidP="000630B5" w:rsidRDefault="00033D81">
      <w:pPr>
        <w:pStyle w:val="ECHRHeading4"/>
      </w:pPr>
      <w:r w:rsidRPr="000630B5">
        <w:t>(a)  The applicant</w:t>
      </w:r>
    </w:p>
    <w:p w:rsidRPr="000630B5" w:rsidR="00EA3C01"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51</w:t>
      </w:r>
      <w:r w:rsidRPr="000630B5">
        <w:fldChar w:fldCharType="end"/>
      </w:r>
      <w:r w:rsidRPr="000630B5" w:rsidR="00014566">
        <w:t>.  </w:t>
      </w:r>
      <w:r w:rsidRPr="000630B5" w:rsidR="00011836">
        <w:t xml:space="preserve">The applicant submitted that the comments in question </w:t>
      </w:r>
      <w:r w:rsidRPr="000630B5" w:rsidR="00A13691">
        <w:t xml:space="preserve">had </w:t>
      </w:r>
      <w:r w:rsidRPr="000630B5" w:rsidR="00011836">
        <w:t xml:space="preserve">clearly </w:t>
      </w:r>
      <w:r w:rsidRPr="000630B5" w:rsidR="00A13691">
        <w:t xml:space="preserve">been </w:t>
      </w:r>
      <w:r w:rsidRPr="000630B5" w:rsidR="00011836">
        <w:t xml:space="preserve">unlawful and </w:t>
      </w:r>
      <w:r w:rsidRPr="000630B5" w:rsidR="008452EC">
        <w:t xml:space="preserve">that </w:t>
      </w:r>
      <w:r w:rsidRPr="000630B5" w:rsidR="00D22CBA">
        <w:t xml:space="preserve">the </w:t>
      </w:r>
      <w:r w:rsidRPr="000630B5" w:rsidR="00011836">
        <w:t>domestic courts had not undertaken the exercise of balancing the rights protected by Articles 8 and 10</w:t>
      </w:r>
      <w:r w:rsidRPr="000630B5" w:rsidR="008452EC">
        <w:t>,</w:t>
      </w:r>
      <w:r w:rsidRPr="000630B5" w:rsidR="00011836">
        <w:t xml:space="preserve"> respectively.</w:t>
      </w:r>
    </w:p>
    <w:p w:rsidRPr="000630B5" w:rsidR="00EA3C01" w:rsidP="000630B5" w:rsidRDefault="0012002F">
      <w:pPr>
        <w:pStyle w:val="ECHRPara"/>
      </w:pPr>
      <w:r w:rsidRPr="000630B5">
        <w:fldChar w:fldCharType="begin"/>
      </w:r>
      <w:r w:rsidRPr="000630B5">
        <w:instrText xml:space="preserve"> SEQ level0 \*arabic </w:instrText>
      </w:r>
      <w:r w:rsidRPr="000630B5">
        <w:fldChar w:fldCharType="separate"/>
      </w:r>
      <w:r w:rsidRPr="000630B5" w:rsidR="000630B5">
        <w:rPr>
          <w:noProof/>
        </w:rPr>
        <w:t>52</w:t>
      </w:r>
      <w:r w:rsidRPr="000630B5">
        <w:fldChar w:fldCharType="end"/>
      </w:r>
      <w:r w:rsidRPr="000630B5">
        <w:t>.  </w:t>
      </w:r>
      <w:r w:rsidRPr="000630B5" w:rsidR="00011836">
        <w:t>T</w:t>
      </w:r>
      <w:r w:rsidRPr="000630B5" w:rsidR="00C07A21">
        <w:t xml:space="preserve">he applicant acknowledged that the </w:t>
      </w:r>
      <w:r w:rsidRPr="000630B5" w:rsidR="00A13691">
        <w:t>in</w:t>
      </w:r>
      <w:r w:rsidRPr="000630B5" w:rsidR="00C07A21">
        <w:t xml:space="preserve">heritance case had been </w:t>
      </w:r>
      <w:r w:rsidRPr="000630B5" w:rsidR="00A13691">
        <w:t xml:space="preserve">in the </w:t>
      </w:r>
      <w:r w:rsidRPr="000630B5" w:rsidR="00C07A21">
        <w:t>public interest, but argued</w:t>
      </w:r>
      <w:r w:rsidRPr="000630B5" w:rsidR="00DB2752">
        <w:t xml:space="preserve"> that the articles published by </w:t>
      </w:r>
      <w:r w:rsidRPr="000630B5" w:rsidR="00DB2752">
        <w:rPr>
          <w:i/>
        </w:rPr>
        <w:t xml:space="preserve">Hegnar Online </w:t>
      </w:r>
      <w:r w:rsidRPr="000630B5" w:rsidR="00DB2752">
        <w:t>and</w:t>
      </w:r>
      <w:r w:rsidRPr="000630B5" w:rsidR="00A13691">
        <w:t xml:space="preserve"> the</w:t>
      </w:r>
      <w:r w:rsidRPr="000630B5" w:rsidR="00DB2752">
        <w:t xml:space="preserve"> two other publications</w:t>
      </w:r>
      <w:r w:rsidRPr="000630B5" w:rsidR="00C07A21">
        <w:t xml:space="preserve"> had not been balanced. Reference was made to the statement by </w:t>
      </w:r>
      <w:r w:rsidRPr="000630B5" w:rsidR="008452EC">
        <w:t>the Press Complaints Commission</w:t>
      </w:r>
      <w:r w:rsidRPr="000630B5" w:rsidR="00C07A21">
        <w:t xml:space="preserve"> to the effect that </w:t>
      </w:r>
      <w:r w:rsidRPr="000630B5" w:rsidR="00C07A21">
        <w:rPr>
          <w:i/>
        </w:rPr>
        <w:t xml:space="preserve">Kapital </w:t>
      </w:r>
      <w:r w:rsidRPr="000630B5" w:rsidR="00C07A21">
        <w:t xml:space="preserve">and </w:t>
      </w:r>
      <w:r w:rsidRPr="000630B5" w:rsidR="00C07A21">
        <w:rPr>
          <w:i/>
        </w:rPr>
        <w:t xml:space="preserve">Finansavisen </w:t>
      </w:r>
      <w:r w:rsidRPr="000630B5" w:rsidR="00C07A21">
        <w:t>had breached the code of conduct for journalists.</w:t>
      </w:r>
    </w:p>
    <w:p w:rsidRPr="000630B5" w:rsidR="00011836" w:rsidP="000630B5" w:rsidRDefault="0012002F">
      <w:pPr>
        <w:pStyle w:val="ECHRPara"/>
      </w:pPr>
      <w:r w:rsidRPr="000630B5">
        <w:fldChar w:fldCharType="begin"/>
      </w:r>
      <w:r w:rsidRPr="000630B5">
        <w:instrText xml:space="preserve"> SEQ level0 \*arabic </w:instrText>
      </w:r>
      <w:r w:rsidRPr="000630B5">
        <w:fldChar w:fldCharType="separate"/>
      </w:r>
      <w:r w:rsidRPr="000630B5" w:rsidR="000630B5">
        <w:rPr>
          <w:noProof/>
        </w:rPr>
        <w:t>53</w:t>
      </w:r>
      <w:r w:rsidRPr="000630B5">
        <w:fldChar w:fldCharType="end"/>
      </w:r>
      <w:r w:rsidRPr="000630B5">
        <w:t>.  </w:t>
      </w:r>
      <w:r w:rsidRPr="000630B5" w:rsidR="00011836">
        <w:t xml:space="preserve">Although </w:t>
      </w:r>
      <w:r w:rsidRPr="000630B5" w:rsidR="00011836">
        <w:rPr>
          <w:i/>
        </w:rPr>
        <w:t xml:space="preserve">Hegnar Online </w:t>
      </w:r>
      <w:r w:rsidRPr="000630B5" w:rsidR="00011836">
        <w:t>had estab</w:t>
      </w:r>
      <w:r w:rsidRPr="000630B5" w:rsidR="008452EC">
        <w:t>lished a system with a “warning </w:t>
      </w:r>
      <w:r w:rsidRPr="000630B5" w:rsidR="00011836">
        <w:t>button” and some members of staff had been tasked with monitoring</w:t>
      </w:r>
      <w:r w:rsidRPr="000630B5" w:rsidR="00EA3C01">
        <w:t xml:space="preserve"> </w:t>
      </w:r>
      <w:r w:rsidRPr="000630B5" w:rsidR="00011836">
        <w:t xml:space="preserve">content on the forum, this had clearly been </w:t>
      </w:r>
      <w:r w:rsidRPr="000630B5" w:rsidR="00A13691">
        <w:t>in</w:t>
      </w:r>
      <w:r w:rsidRPr="000630B5" w:rsidR="00011836">
        <w:t>sufficient. Th</w:t>
      </w:r>
      <w:r w:rsidRPr="000630B5" w:rsidR="00A13691">
        <w:t>e</w:t>
      </w:r>
      <w:r w:rsidRPr="000630B5" w:rsidR="00011836">
        <w:t xml:space="preserve"> system had been </w:t>
      </w:r>
      <w:r w:rsidRPr="000630B5" w:rsidR="00A13691">
        <w:t>in</w:t>
      </w:r>
      <w:r w:rsidRPr="000630B5" w:rsidR="00011836">
        <w:t xml:space="preserve">capable of handling the large amount of comments posted on </w:t>
      </w:r>
      <w:r w:rsidRPr="000630B5" w:rsidR="006F755F">
        <w:t>it</w:t>
      </w:r>
      <w:r w:rsidRPr="000630B5" w:rsidR="00011836">
        <w:t>.</w:t>
      </w:r>
    </w:p>
    <w:p w:rsidRPr="000630B5" w:rsidR="00011836" w:rsidP="000630B5" w:rsidRDefault="0012002F">
      <w:pPr>
        <w:pStyle w:val="ECHRPara"/>
      </w:pPr>
      <w:r w:rsidRPr="000630B5">
        <w:fldChar w:fldCharType="begin"/>
      </w:r>
      <w:r w:rsidRPr="000630B5">
        <w:instrText xml:space="preserve"> SEQ level0 \*arabic </w:instrText>
      </w:r>
      <w:r w:rsidRPr="000630B5">
        <w:fldChar w:fldCharType="separate"/>
      </w:r>
      <w:r w:rsidRPr="000630B5" w:rsidR="000630B5">
        <w:rPr>
          <w:noProof/>
        </w:rPr>
        <w:t>54</w:t>
      </w:r>
      <w:r w:rsidRPr="000630B5">
        <w:fldChar w:fldCharType="end"/>
      </w:r>
      <w:r w:rsidRPr="000630B5">
        <w:t>.  </w:t>
      </w:r>
      <w:r w:rsidRPr="000630B5" w:rsidR="006426B6">
        <w:t xml:space="preserve">The applicant had not been in any position to identify the anonymous </w:t>
      </w:r>
      <w:r w:rsidRPr="000630B5" w:rsidR="00490FF0">
        <w:t>commenters</w:t>
      </w:r>
      <w:r w:rsidRPr="000630B5" w:rsidR="006426B6">
        <w:t xml:space="preserve">; she would have needed to contact the police and report the incidents, but even then </w:t>
      </w:r>
      <w:r w:rsidRPr="000630B5" w:rsidR="00FA6983">
        <w:t xml:space="preserve">the discovery of their identity would not </w:t>
      </w:r>
      <w:r w:rsidRPr="000630B5" w:rsidR="006426B6">
        <w:t>have been guaranteed.</w:t>
      </w:r>
    </w:p>
    <w:p w:rsidRPr="000630B5" w:rsidR="006426B6" w:rsidP="000630B5" w:rsidRDefault="0012002F">
      <w:pPr>
        <w:pStyle w:val="ECHRPara"/>
      </w:pPr>
      <w:r w:rsidRPr="000630B5">
        <w:fldChar w:fldCharType="begin"/>
      </w:r>
      <w:r w:rsidRPr="000630B5">
        <w:instrText xml:space="preserve"> SEQ level0 \*arabic </w:instrText>
      </w:r>
      <w:r w:rsidRPr="000630B5">
        <w:fldChar w:fldCharType="separate"/>
      </w:r>
      <w:r w:rsidRPr="000630B5" w:rsidR="000630B5">
        <w:rPr>
          <w:noProof/>
        </w:rPr>
        <w:t>55</w:t>
      </w:r>
      <w:r w:rsidRPr="000630B5">
        <w:fldChar w:fldCharType="end"/>
      </w:r>
      <w:r w:rsidRPr="000630B5">
        <w:t xml:space="preserve">.  Recognising </w:t>
      </w:r>
      <w:r w:rsidRPr="000630B5" w:rsidR="006426B6">
        <w:t xml:space="preserve">that liability for third-party comments might have some negative consequences for freedom of expression on the </w:t>
      </w:r>
      <w:r w:rsidRPr="000630B5">
        <w:t>Internet, the applicant maintained that</w:t>
      </w:r>
      <w:r w:rsidRPr="000630B5" w:rsidR="006426B6">
        <w:t xml:space="preserve"> the website in the present case was </w:t>
      </w:r>
      <w:r w:rsidRPr="000630B5" w:rsidR="00490FF0">
        <w:t xml:space="preserve">one of </w:t>
      </w:r>
      <w:r w:rsidRPr="000630B5" w:rsidR="006426B6">
        <w:t>the biggest platforms and debate forums in Norway and</w:t>
      </w:r>
      <w:r w:rsidRPr="000630B5" w:rsidR="00490FF0">
        <w:t xml:space="preserve"> </w:t>
      </w:r>
      <w:r w:rsidRPr="000630B5" w:rsidR="00FA6983">
        <w:t>that</w:t>
      </w:r>
      <w:r w:rsidRPr="000630B5" w:rsidR="006426B6">
        <w:t xml:space="preserve"> liability would not have any significant negative impact.</w:t>
      </w:r>
    </w:p>
    <w:p w:rsidRPr="000630B5" w:rsidR="006426B6" w:rsidP="000630B5" w:rsidRDefault="0012002F">
      <w:pPr>
        <w:pStyle w:val="ECHRPara"/>
      </w:pPr>
      <w:r w:rsidRPr="000630B5">
        <w:fldChar w:fldCharType="begin"/>
      </w:r>
      <w:r w:rsidRPr="000630B5">
        <w:instrText xml:space="preserve"> SEQ level0 \*arabic </w:instrText>
      </w:r>
      <w:r w:rsidRPr="000630B5">
        <w:fldChar w:fldCharType="separate"/>
      </w:r>
      <w:r w:rsidRPr="000630B5" w:rsidR="000630B5">
        <w:rPr>
          <w:noProof/>
        </w:rPr>
        <w:t>56</w:t>
      </w:r>
      <w:r w:rsidRPr="000630B5">
        <w:fldChar w:fldCharType="end"/>
      </w:r>
      <w:r w:rsidRPr="000630B5">
        <w:t xml:space="preserve">.  The </w:t>
      </w:r>
      <w:r w:rsidRPr="000630B5" w:rsidR="00490FF0">
        <w:t>requirement for</w:t>
      </w:r>
      <w:r w:rsidRPr="000630B5">
        <w:t xml:space="preserve"> the applicant to </w:t>
      </w:r>
      <w:r w:rsidRPr="000630B5" w:rsidR="00490FF0">
        <w:t xml:space="preserve">pay </w:t>
      </w:r>
      <w:r w:rsidRPr="000630B5">
        <w:t>the defendants</w:t>
      </w:r>
      <w:r w:rsidRPr="000630B5" w:rsidR="000630B5">
        <w:t>’</w:t>
      </w:r>
      <w:r w:rsidRPr="000630B5">
        <w:t xml:space="preserve"> legal </w:t>
      </w:r>
      <w:r w:rsidRPr="000630B5" w:rsidR="00490FF0">
        <w:t xml:space="preserve">costs </w:t>
      </w:r>
      <w:r w:rsidRPr="000630B5">
        <w:t>of approximately EUR 49,964 (including interest) in the domestic proceedings formed a separate reason why there had been a breach of Article 8 of the Convention.</w:t>
      </w:r>
    </w:p>
    <w:p w:rsidRPr="000630B5" w:rsidR="00C07A21" w:rsidP="000630B5" w:rsidRDefault="00033D81">
      <w:pPr>
        <w:pStyle w:val="ECHRHeading4"/>
      </w:pPr>
      <w:r w:rsidRPr="000630B5">
        <w:t>(b)  The Government</w:t>
      </w:r>
    </w:p>
    <w:p w:rsidRPr="000630B5" w:rsidR="00EA3C01" w:rsidP="000630B5" w:rsidRDefault="00C82108">
      <w:pPr>
        <w:pStyle w:val="ECHRPara"/>
      </w:pPr>
      <w:r w:rsidRPr="000630B5">
        <w:fldChar w:fldCharType="begin"/>
      </w:r>
      <w:r w:rsidRPr="000630B5">
        <w:instrText xml:space="preserve"> SEQ level0 \*arabic </w:instrText>
      </w:r>
      <w:r w:rsidRPr="000630B5">
        <w:fldChar w:fldCharType="separate"/>
      </w:r>
      <w:r w:rsidRPr="000630B5" w:rsidR="000630B5">
        <w:rPr>
          <w:noProof/>
        </w:rPr>
        <w:t>57</w:t>
      </w:r>
      <w:r w:rsidRPr="000630B5">
        <w:fldChar w:fldCharType="end"/>
      </w:r>
      <w:r w:rsidRPr="000630B5" w:rsidR="00014566">
        <w:t xml:space="preserve">.  The Government </w:t>
      </w:r>
      <w:r w:rsidRPr="000630B5" w:rsidR="00B91CA4">
        <w:t>argued that the comments in question had not attained such a level of seriousness or been carried out in such a manner</w:t>
      </w:r>
      <w:r w:rsidRPr="000630B5" w:rsidR="006F755F">
        <w:t xml:space="preserve"> as</w:t>
      </w:r>
      <w:r w:rsidRPr="000630B5" w:rsidR="00B91CA4">
        <w:t xml:space="preserve"> t</w:t>
      </w:r>
      <w:r w:rsidRPr="000630B5" w:rsidR="006F755F">
        <w:t>o have</w:t>
      </w:r>
      <w:r w:rsidRPr="000630B5" w:rsidR="00B91CA4">
        <w:t xml:space="preserve"> caused prejudice to </w:t>
      </w:r>
      <w:r w:rsidRPr="000630B5" w:rsidR="006F755F">
        <w:t xml:space="preserve">the </w:t>
      </w:r>
      <w:r w:rsidRPr="000630B5" w:rsidR="00B91CA4">
        <w:t xml:space="preserve">personal enjoyment of the right to respect for </w:t>
      </w:r>
      <w:r w:rsidRPr="000630B5" w:rsidR="002E2053">
        <w:t>private</w:t>
      </w:r>
      <w:r w:rsidRPr="000630B5" w:rsidR="00B91CA4">
        <w:t xml:space="preserve"> life.</w:t>
      </w:r>
    </w:p>
    <w:p w:rsidRPr="000630B5" w:rsidR="00B91CA4" w:rsidP="000630B5" w:rsidRDefault="00FB3ED9">
      <w:pPr>
        <w:pStyle w:val="ECHRPara"/>
      </w:pPr>
      <w:r w:rsidRPr="000630B5">
        <w:fldChar w:fldCharType="begin"/>
      </w:r>
      <w:r w:rsidRPr="000630B5">
        <w:instrText xml:space="preserve"> SEQ level0 \*arabic </w:instrText>
      </w:r>
      <w:r w:rsidRPr="000630B5">
        <w:fldChar w:fldCharType="separate"/>
      </w:r>
      <w:r w:rsidRPr="000630B5" w:rsidR="000630B5">
        <w:rPr>
          <w:noProof/>
        </w:rPr>
        <w:t>58</w:t>
      </w:r>
      <w:r w:rsidRPr="000630B5">
        <w:fldChar w:fldCharType="end"/>
      </w:r>
      <w:r w:rsidRPr="000630B5">
        <w:t>.  </w:t>
      </w:r>
      <w:r w:rsidRPr="000630B5" w:rsidR="00B91CA4">
        <w:t xml:space="preserve">The media coverage of the inheritance case had formed the background for the instant case and the applicant was, </w:t>
      </w:r>
      <w:r w:rsidRPr="000630B5" w:rsidR="00B91CA4">
        <w:rPr>
          <w:i/>
        </w:rPr>
        <w:t>inter alia</w:t>
      </w:r>
      <w:r w:rsidRPr="000630B5" w:rsidR="00F07B8F">
        <w:t>, a well</w:t>
      </w:r>
      <w:r w:rsidRPr="000630B5" w:rsidR="00F07B8F">
        <w:noBreakHyphen/>
      </w:r>
      <w:r w:rsidRPr="000630B5" w:rsidR="00B91CA4">
        <w:t>known lawyer, a former talk show host and had previously been active in public debate. The City Court</w:t>
      </w:r>
      <w:r w:rsidRPr="000630B5" w:rsidR="000630B5">
        <w:t>’</w:t>
      </w:r>
      <w:r w:rsidRPr="000630B5" w:rsidR="00B91CA4">
        <w:t xml:space="preserve">s assessment of the context of the comments </w:t>
      </w:r>
      <w:r w:rsidRPr="000630B5" w:rsidR="00CD10E1">
        <w:t>had been</w:t>
      </w:r>
      <w:r w:rsidRPr="000630B5" w:rsidR="00B91CA4">
        <w:t xml:space="preserve"> in line with the </w:t>
      </w:r>
      <w:r w:rsidRPr="000630B5" w:rsidR="00971EC2">
        <w:t>European</w:t>
      </w:r>
      <w:r w:rsidRPr="000630B5" w:rsidR="00B91CA4">
        <w:t xml:space="preserve"> Court</w:t>
      </w:r>
      <w:r w:rsidRPr="000630B5" w:rsidR="00971EC2">
        <w:t xml:space="preserve"> of Human Rights</w:t>
      </w:r>
      <w:r w:rsidRPr="000630B5" w:rsidR="000630B5">
        <w:t>’</w:t>
      </w:r>
      <w:r w:rsidRPr="000630B5" w:rsidR="00F07B8F">
        <w:t xml:space="preserve"> case</w:t>
      </w:r>
      <w:r w:rsidRPr="000630B5" w:rsidR="00F07B8F">
        <w:noBreakHyphen/>
      </w:r>
      <w:r w:rsidRPr="000630B5" w:rsidR="00B91CA4">
        <w:t>law in respect of Article 8 of the Convention.</w:t>
      </w:r>
    </w:p>
    <w:p w:rsidRPr="000630B5" w:rsidR="00B91CA4" w:rsidP="000630B5" w:rsidRDefault="00FB3ED9">
      <w:pPr>
        <w:pStyle w:val="ECHRPara"/>
      </w:pPr>
      <w:r w:rsidRPr="000630B5">
        <w:fldChar w:fldCharType="begin"/>
      </w:r>
      <w:r w:rsidRPr="000630B5">
        <w:instrText xml:space="preserve"> SEQ level0 \*arabic </w:instrText>
      </w:r>
      <w:r w:rsidRPr="000630B5">
        <w:fldChar w:fldCharType="separate"/>
      </w:r>
      <w:r w:rsidRPr="000630B5" w:rsidR="000630B5">
        <w:rPr>
          <w:noProof/>
        </w:rPr>
        <w:t>59</w:t>
      </w:r>
      <w:r w:rsidRPr="000630B5">
        <w:fldChar w:fldCharType="end"/>
      </w:r>
      <w:r w:rsidRPr="000630B5">
        <w:t>.  </w:t>
      </w:r>
      <w:r w:rsidRPr="000630B5" w:rsidR="00CD10E1">
        <w:t xml:space="preserve">The High Court had examined the measures applied by the defendants in the domestic proceedings in order to prevent or remove </w:t>
      </w:r>
      <w:r w:rsidRPr="000630B5" w:rsidR="006F755F">
        <w:t xml:space="preserve">the </w:t>
      </w:r>
      <w:r w:rsidRPr="000630B5" w:rsidR="00CD10E1">
        <w:t>defamatory comments, and</w:t>
      </w:r>
      <w:r w:rsidRPr="000630B5" w:rsidR="006F755F">
        <w:t xml:space="preserve"> had</w:t>
      </w:r>
      <w:r w:rsidRPr="000630B5" w:rsidR="00CD10E1">
        <w:t xml:space="preserve"> assessed those measures in a manner consistent with the criteria developed by the Court.</w:t>
      </w:r>
    </w:p>
    <w:p w:rsidRPr="000630B5" w:rsidR="00CD10E1" w:rsidP="000630B5" w:rsidRDefault="00FB3ED9">
      <w:pPr>
        <w:pStyle w:val="ECHRPara"/>
      </w:pPr>
      <w:r w:rsidRPr="000630B5">
        <w:fldChar w:fldCharType="begin"/>
      </w:r>
      <w:r w:rsidRPr="000630B5">
        <w:instrText xml:space="preserve"> SEQ level0 \*arabic </w:instrText>
      </w:r>
      <w:r w:rsidRPr="000630B5">
        <w:fldChar w:fldCharType="separate"/>
      </w:r>
      <w:r w:rsidRPr="000630B5" w:rsidR="000630B5">
        <w:rPr>
          <w:noProof/>
        </w:rPr>
        <w:t>60</w:t>
      </w:r>
      <w:r w:rsidRPr="000630B5">
        <w:fldChar w:fldCharType="end"/>
      </w:r>
      <w:r w:rsidRPr="000630B5">
        <w:t>.  </w:t>
      </w:r>
      <w:r w:rsidRPr="000630B5" w:rsidR="00CD10E1">
        <w:t>The Government did not dispute that the impugned comments had been made by anonymous posters and that there had</w:t>
      </w:r>
      <w:r w:rsidRPr="000630B5" w:rsidR="006F755F">
        <w:t xml:space="preserve"> not</w:t>
      </w:r>
      <w:r w:rsidRPr="000630B5" w:rsidR="00CD10E1">
        <w:t xml:space="preserve">, at the time, been a system for registering users. The applicant had not taken any steps to </w:t>
      </w:r>
      <w:r w:rsidRPr="000630B5" w:rsidR="00FA6983">
        <w:t xml:space="preserve">discover </w:t>
      </w:r>
      <w:r w:rsidRPr="000630B5" w:rsidR="00CD10E1">
        <w:t>the identities of the posters.</w:t>
      </w:r>
    </w:p>
    <w:p w:rsidRPr="000630B5" w:rsidR="00CD10E1" w:rsidP="000630B5" w:rsidRDefault="00FB3ED9">
      <w:pPr>
        <w:pStyle w:val="ECHRPara"/>
      </w:pPr>
      <w:r w:rsidRPr="000630B5">
        <w:fldChar w:fldCharType="begin"/>
      </w:r>
      <w:r w:rsidRPr="000630B5">
        <w:instrText xml:space="preserve"> SEQ level0 \*arabic </w:instrText>
      </w:r>
      <w:r w:rsidRPr="000630B5">
        <w:fldChar w:fldCharType="separate"/>
      </w:r>
      <w:r w:rsidRPr="000630B5" w:rsidR="000630B5">
        <w:rPr>
          <w:noProof/>
        </w:rPr>
        <w:t>61</w:t>
      </w:r>
      <w:r w:rsidRPr="000630B5">
        <w:fldChar w:fldCharType="end"/>
      </w:r>
      <w:r w:rsidRPr="000630B5">
        <w:t>.  </w:t>
      </w:r>
      <w:r w:rsidRPr="000630B5" w:rsidR="00570CA0">
        <w:t>The Court</w:t>
      </w:r>
      <w:r w:rsidRPr="000630B5" w:rsidR="000630B5">
        <w:t>’</w:t>
      </w:r>
      <w:r w:rsidRPr="000630B5" w:rsidR="00570CA0">
        <w:t xml:space="preserve">s assessment in the case of </w:t>
      </w:r>
      <w:r w:rsidRPr="000630B5" w:rsidR="00E82936">
        <w:rPr>
          <w:i/>
        </w:rPr>
        <w:t>Pihl v. Sweden</w:t>
      </w:r>
      <w:r w:rsidRPr="000630B5" w:rsidR="00E82936">
        <w:t xml:space="preserve"> </w:t>
      </w:r>
      <w:r w:rsidRPr="000630B5" w:rsidR="006F755F">
        <w:t>(</w:t>
      </w:r>
      <w:r w:rsidRPr="000630B5" w:rsidR="00EA3C01">
        <w:t>(dec.), no. </w:t>
      </w:r>
      <w:r w:rsidRPr="000630B5" w:rsidR="00E82936">
        <w:t>74742/14, 7 February 2017</w:t>
      </w:r>
      <w:r w:rsidRPr="000630B5" w:rsidR="006F755F">
        <w:t>)</w:t>
      </w:r>
      <w:r w:rsidRPr="000630B5" w:rsidR="00E82936">
        <w:t xml:space="preserve"> </w:t>
      </w:r>
      <w:r w:rsidRPr="000630B5" w:rsidR="00570CA0">
        <w:t>and the similarities to that case weighed clearly in favour of the overall conclusion that there had been no violation in the instant case.</w:t>
      </w:r>
    </w:p>
    <w:p w:rsidRPr="000630B5" w:rsidR="00570CA0" w:rsidP="000630B5" w:rsidRDefault="00FB3ED9">
      <w:pPr>
        <w:pStyle w:val="ECHRPara"/>
      </w:pPr>
      <w:r w:rsidRPr="000630B5">
        <w:fldChar w:fldCharType="begin"/>
      </w:r>
      <w:r w:rsidRPr="000630B5">
        <w:instrText xml:space="preserve"> SEQ level0 \*arabic </w:instrText>
      </w:r>
      <w:r w:rsidRPr="000630B5">
        <w:fldChar w:fldCharType="separate"/>
      </w:r>
      <w:r w:rsidRPr="000630B5" w:rsidR="000630B5">
        <w:rPr>
          <w:noProof/>
        </w:rPr>
        <w:t>62</w:t>
      </w:r>
      <w:r w:rsidRPr="000630B5">
        <w:fldChar w:fldCharType="end"/>
      </w:r>
      <w:r w:rsidRPr="000630B5">
        <w:t>.  </w:t>
      </w:r>
      <w:r w:rsidRPr="000630B5" w:rsidR="00570CA0">
        <w:t xml:space="preserve">With respect to the litigation costs, the Government submitted that Article 6 § 1 of the Convention was </w:t>
      </w:r>
      <w:r w:rsidRPr="000630B5" w:rsidR="00570CA0">
        <w:rPr>
          <w:i/>
        </w:rPr>
        <w:t>lex specialis</w:t>
      </w:r>
      <w:r w:rsidRPr="000630B5" w:rsidR="00570CA0">
        <w:t xml:space="preserve"> and that Article 8 could therefore not come into play. </w:t>
      </w:r>
      <w:r w:rsidRPr="000630B5" w:rsidR="00033D81">
        <w:t xml:space="preserve">The case of </w:t>
      </w:r>
      <w:r w:rsidRPr="000630B5" w:rsidR="00033D81">
        <w:rPr>
          <w:i/>
        </w:rPr>
        <w:t>MGN Limited v. the United Kingdom</w:t>
      </w:r>
      <w:r w:rsidRPr="000630B5" w:rsidR="006F755F">
        <w:t xml:space="preserve"> (</w:t>
      </w:r>
      <w:r w:rsidRPr="000630B5" w:rsidR="00033D81">
        <w:t>no. 39401/04</w:t>
      </w:r>
      <w:r w:rsidRPr="000630B5" w:rsidR="00033D81">
        <w:rPr>
          <w:snapToGrid w:val="0"/>
        </w:rPr>
        <w:t>, 18 January 2011</w:t>
      </w:r>
      <w:r w:rsidRPr="000630B5" w:rsidR="006F755F">
        <w:rPr>
          <w:snapToGrid w:val="0"/>
        </w:rPr>
        <w:t>)</w:t>
      </w:r>
      <w:r w:rsidRPr="000630B5" w:rsidR="00033D81">
        <w:rPr>
          <w:snapToGrid w:val="0"/>
        </w:rPr>
        <w:t xml:space="preserve"> was factually different and concerned Article 10; its rationale could not be applied to Article 8. The domestic courts had performed a balancing act in accordance with the Dispute Act which had been in line with the obligation to secure access to </w:t>
      </w:r>
      <w:r w:rsidRPr="000630B5" w:rsidR="006F755F">
        <w:rPr>
          <w:snapToGrid w:val="0"/>
        </w:rPr>
        <w:t xml:space="preserve">the </w:t>
      </w:r>
      <w:r w:rsidRPr="000630B5" w:rsidR="00033D81">
        <w:rPr>
          <w:snapToGrid w:val="0"/>
        </w:rPr>
        <w:t>court</w:t>
      </w:r>
      <w:r w:rsidRPr="000630B5" w:rsidR="006F755F">
        <w:rPr>
          <w:snapToGrid w:val="0"/>
        </w:rPr>
        <w:t>s</w:t>
      </w:r>
      <w:r w:rsidRPr="000630B5" w:rsidR="00033D81">
        <w:rPr>
          <w:snapToGrid w:val="0"/>
        </w:rPr>
        <w:t xml:space="preserve"> and which </w:t>
      </w:r>
      <w:r w:rsidRPr="000630B5" w:rsidR="006F755F">
        <w:rPr>
          <w:snapToGrid w:val="0"/>
        </w:rPr>
        <w:t xml:space="preserve">had </w:t>
      </w:r>
      <w:r w:rsidRPr="000630B5" w:rsidR="00033D81">
        <w:rPr>
          <w:snapToGrid w:val="0"/>
        </w:rPr>
        <w:t>not disclose</w:t>
      </w:r>
      <w:r w:rsidRPr="000630B5" w:rsidR="006F755F">
        <w:rPr>
          <w:snapToGrid w:val="0"/>
        </w:rPr>
        <w:t>d</w:t>
      </w:r>
      <w:r w:rsidRPr="000630B5" w:rsidR="00033D81">
        <w:rPr>
          <w:snapToGrid w:val="0"/>
        </w:rPr>
        <w:t xml:space="preserve"> any unreasonable lack of proportionality between the aims pursued and the means employed.</w:t>
      </w:r>
    </w:p>
    <w:p w:rsidRPr="000630B5" w:rsidR="00C82108" w:rsidP="000630B5" w:rsidRDefault="00C82108">
      <w:pPr>
        <w:pStyle w:val="ECHRHeading3"/>
      </w:pPr>
      <w:r w:rsidRPr="000630B5">
        <w:t>2.  The Court</w:t>
      </w:r>
      <w:r w:rsidRPr="000630B5" w:rsidR="000630B5">
        <w:t>’</w:t>
      </w:r>
      <w:r w:rsidRPr="000630B5">
        <w:t>s considerations</w:t>
      </w:r>
    </w:p>
    <w:p w:rsidRPr="000630B5" w:rsidR="00E7612E" w:rsidP="000630B5" w:rsidRDefault="00E7612E">
      <w:pPr>
        <w:pStyle w:val="ECHRPara"/>
        <w:rPr>
          <w:lang w:val="it-IT"/>
        </w:rPr>
      </w:pPr>
      <w:r w:rsidRPr="000630B5">
        <w:rPr>
          <w:sz w:val="23"/>
          <w:szCs w:val="23"/>
        </w:rPr>
        <w:fldChar w:fldCharType="begin"/>
      </w:r>
      <w:r w:rsidRPr="000630B5">
        <w:rPr>
          <w:sz w:val="23"/>
          <w:szCs w:val="23"/>
        </w:rPr>
        <w:instrText xml:space="preserve"> SEQ level0 \*arabic </w:instrText>
      </w:r>
      <w:r w:rsidRPr="000630B5">
        <w:rPr>
          <w:sz w:val="23"/>
          <w:szCs w:val="23"/>
        </w:rPr>
        <w:fldChar w:fldCharType="separate"/>
      </w:r>
      <w:r w:rsidRPr="000630B5" w:rsidR="000630B5">
        <w:rPr>
          <w:noProof/>
          <w:sz w:val="23"/>
          <w:szCs w:val="23"/>
        </w:rPr>
        <w:t>63</w:t>
      </w:r>
      <w:r w:rsidRPr="000630B5">
        <w:rPr>
          <w:sz w:val="23"/>
          <w:szCs w:val="23"/>
        </w:rPr>
        <w:fldChar w:fldCharType="end"/>
      </w:r>
      <w:r w:rsidRPr="000630B5">
        <w:rPr>
          <w:sz w:val="23"/>
          <w:szCs w:val="23"/>
        </w:rPr>
        <w:t>.  </w:t>
      </w:r>
      <w:r w:rsidRPr="000630B5">
        <w:rPr>
          <w:rFonts w:cstheme="minorHAnsi"/>
          <w:szCs w:val="24"/>
        </w:rPr>
        <w:t>The Court reiterates that the notion of “private life” within the meaning of Article 8 of the Convention is a broad concept which extends to a number of aspects relating to personal identity, such as a person</w:t>
      </w:r>
      <w:r w:rsidRPr="000630B5" w:rsidR="000630B5">
        <w:rPr>
          <w:rFonts w:cstheme="minorHAnsi"/>
          <w:szCs w:val="24"/>
        </w:rPr>
        <w:t>’</w:t>
      </w:r>
      <w:r w:rsidRPr="000630B5">
        <w:rPr>
          <w:rFonts w:cstheme="minorHAnsi"/>
          <w:szCs w:val="24"/>
        </w:rPr>
        <w:t>s name or image, and furthermore includes a person</w:t>
      </w:r>
      <w:r w:rsidRPr="000630B5" w:rsidR="000630B5">
        <w:rPr>
          <w:rFonts w:cstheme="minorHAnsi"/>
          <w:szCs w:val="24"/>
        </w:rPr>
        <w:t>’</w:t>
      </w:r>
      <w:r w:rsidRPr="000630B5">
        <w:rPr>
          <w:rFonts w:cstheme="minorHAnsi"/>
          <w:szCs w:val="24"/>
        </w:rPr>
        <w:t>s physical and psychological integrity (see, for instance,</w:t>
      </w:r>
      <w:r w:rsidRPr="000630B5" w:rsidR="00D22CBA">
        <w:rPr>
          <w:i/>
          <w:lang w:val="it-IT"/>
        </w:rPr>
        <w:t xml:space="preserve"> Von Hannover v. Germany</w:t>
      </w:r>
      <w:r w:rsidRPr="000630B5" w:rsidR="00EA3C01">
        <w:rPr>
          <w:lang w:val="it-IT"/>
        </w:rPr>
        <w:t>, no. 59320/00, § </w:t>
      </w:r>
      <w:r w:rsidRPr="000630B5" w:rsidR="00D22CBA">
        <w:rPr>
          <w:lang w:val="it-IT"/>
        </w:rPr>
        <w:t>50, ECHR 2004</w:t>
      </w:r>
      <w:r w:rsidRPr="000630B5" w:rsidR="00D22CBA">
        <w:rPr>
          <w:lang w:val="it-IT"/>
        </w:rPr>
        <w:noBreakHyphen/>
        <w:t xml:space="preserve">VI, and </w:t>
      </w:r>
      <w:r w:rsidRPr="000630B5">
        <w:rPr>
          <w:i/>
        </w:rPr>
        <w:t>Paradiso and Campanelli v. Italy</w:t>
      </w:r>
      <w:r w:rsidRPr="000630B5" w:rsidR="00511F63">
        <w:t xml:space="preserve"> [GC], no. </w:t>
      </w:r>
      <w:r w:rsidRPr="000630B5">
        <w:t>2</w:t>
      </w:r>
      <w:r w:rsidRPr="000630B5" w:rsidR="00EA3C01">
        <w:t>5358/12, § </w:t>
      </w:r>
      <w:r w:rsidRPr="000630B5">
        <w:t>159, ECHR 2017</w:t>
      </w:r>
      <w:r w:rsidRPr="000630B5">
        <w:rPr>
          <w:rFonts w:cstheme="minorHAnsi"/>
          <w:szCs w:val="24"/>
        </w:rPr>
        <w:t>). It has also been accepted by the Court that a person</w:t>
      </w:r>
      <w:r w:rsidRPr="000630B5" w:rsidR="000630B5">
        <w:rPr>
          <w:rFonts w:cstheme="minorHAnsi"/>
          <w:szCs w:val="24"/>
        </w:rPr>
        <w:t>’</w:t>
      </w:r>
      <w:r w:rsidRPr="000630B5">
        <w:rPr>
          <w:rFonts w:cstheme="minorHAnsi"/>
          <w:szCs w:val="24"/>
        </w:rPr>
        <w:t>s right to protection of his or her reputation is encompassed by Article 8 as part of the right to respect for private life (see</w:t>
      </w:r>
      <w:r w:rsidRPr="000630B5">
        <w:t xml:space="preserve"> </w:t>
      </w:r>
      <w:r w:rsidRPr="000630B5">
        <w:rPr>
          <w:i/>
        </w:rPr>
        <w:t xml:space="preserve">Bédat v. Switzerland </w:t>
      </w:r>
      <w:r w:rsidRPr="000630B5">
        <w:t>[GC], no.</w:t>
      </w:r>
      <w:r w:rsidRPr="000630B5" w:rsidR="00EA3C01">
        <w:t> </w:t>
      </w:r>
      <w:r w:rsidRPr="000630B5">
        <w:t>56925/08, § 72, ECHR 2016, with further references)</w:t>
      </w:r>
      <w:r w:rsidRPr="000630B5">
        <w:rPr>
          <w:rFonts w:cstheme="minorHAnsi"/>
          <w:szCs w:val="24"/>
        </w:rPr>
        <w:t>.</w:t>
      </w:r>
    </w:p>
    <w:p w:rsidRPr="000630B5" w:rsidR="00E7612E" w:rsidP="000630B5" w:rsidRDefault="00E7612E">
      <w:pPr>
        <w:pStyle w:val="ECHRPara"/>
        <w:rPr>
          <w:i/>
        </w:rPr>
      </w:pPr>
      <w:r w:rsidRPr="000630B5">
        <w:rPr>
          <w:rFonts w:cstheme="minorHAnsi"/>
          <w:szCs w:val="24"/>
        </w:rPr>
        <w:fldChar w:fldCharType="begin"/>
      </w:r>
      <w:r w:rsidRPr="000630B5">
        <w:rPr>
          <w:rFonts w:cstheme="minorHAnsi"/>
          <w:szCs w:val="24"/>
        </w:rPr>
        <w:instrText xml:space="preserve"> SEQ level0 \*arabic </w:instrText>
      </w:r>
      <w:r w:rsidRPr="000630B5">
        <w:rPr>
          <w:rFonts w:cstheme="minorHAnsi"/>
          <w:szCs w:val="24"/>
        </w:rPr>
        <w:fldChar w:fldCharType="separate"/>
      </w:r>
      <w:r w:rsidRPr="000630B5" w:rsidR="000630B5">
        <w:rPr>
          <w:rFonts w:cstheme="minorHAnsi"/>
          <w:noProof/>
          <w:szCs w:val="24"/>
        </w:rPr>
        <w:t>64</w:t>
      </w:r>
      <w:r w:rsidRPr="000630B5">
        <w:rPr>
          <w:rFonts w:cstheme="minorHAnsi"/>
          <w:szCs w:val="24"/>
        </w:rPr>
        <w:fldChar w:fldCharType="end"/>
      </w:r>
      <w:r w:rsidRPr="000630B5">
        <w:rPr>
          <w:rFonts w:cstheme="minorHAnsi"/>
          <w:szCs w:val="24"/>
        </w:rPr>
        <w:t xml:space="preserve">.  In order for Article 8 of the Convention to come into play, the attack on personal honour and reputation must attain a certain level of seriousness and must have been carried out in a manner causing prejudice to personal enjoyment of the right to respect for private life (see </w:t>
      </w:r>
      <w:r w:rsidRPr="000630B5" w:rsidR="00EA3C01">
        <w:rPr>
          <w:rFonts w:cstheme="minorHAnsi"/>
          <w:i/>
          <w:szCs w:val="24"/>
        </w:rPr>
        <w:t>Axel Springer AG v. </w:t>
      </w:r>
      <w:r w:rsidRPr="000630B5" w:rsidR="00D22CBA">
        <w:rPr>
          <w:rFonts w:cstheme="minorHAnsi"/>
          <w:i/>
          <w:szCs w:val="24"/>
        </w:rPr>
        <w:t>Germany</w:t>
      </w:r>
      <w:r w:rsidRPr="000630B5" w:rsidR="00D22CBA">
        <w:rPr>
          <w:rFonts w:cstheme="minorHAnsi"/>
          <w:szCs w:val="24"/>
        </w:rPr>
        <w:t xml:space="preserve"> [GC], no. 39954/08, § 83, 7 February 2012</w:t>
      </w:r>
      <w:r w:rsidRPr="000630B5" w:rsidR="001E6A05">
        <w:rPr>
          <w:rFonts w:cstheme="minorHAnsi"/>
          <w:szCs w:val="24"/>
        </w:rPr>
        <w:t xml:space="preserve">; </w:t>
      </w:r>
      <w:r w:rsidRPr="000630B5">
        <w:rPr>
          <w:i/>
        </w:rPr>
        <w:t>Delfi AS</w:t>
      </w:r>
      <w:r w:rsidRPr="000630B5">
        <w:t xml:space="preserve"> </w:t>
      </w:r>
      <w:r w:rsidRPr="000630B5" w:rsidR="00EA3C01">
        <w:rPr>
          <w:i/>
        </w:rPr>
        <w:t>v. </w:t>
      </w:r>
      <w:r w:rsidRPr="000630B5">
        <w:rPr>
          <w:i/>
        </w:rPr>
        <w:t xml:space="preserve">Estonia </w:t>
      </w:r>
      <w:r w:rsidRPr="000630B5">
        <w:t>[GC], no. 64569/09, § 137, ECHR 2015</w:t>
      </w:r>
      <w:r w:rsidRPr="000630B5" w:rsidR="001E6A05">
        <w:t xml:space="preserve">; and </w:t>
      </w:r>
      <w:r w:rsidRPr="000630B5" w:rsidR="001E6A05">
        <w:rPr>
          <w:i/>
          <w:iCs/>
        </w:rPr>
        <w:t>Denisov v. Ukraine</w:t>
      </w:r>
      <w:r w:rsidRPr="000630B5" w:rsidR="001E6A05">
        <w:rPr>
          <w:iCs/>
        </w:rPr>
        <w:t xml:space="preserve"> [GC]</w:t>
      </w:r>
      <w:r w:rsidRPr="000630B5" w:rsidR="001E6A05">
        <w:t>,</w:t>
      </w:r>
      <w:r w:rsidRPr="000630B5" w:rsidR="001E6A05">
        <w:rPr>
          <w:lang w:eastAsia="en-GB"/>
        </w:rPr>
        <w:t xml:space="preserve"> </w:t>
      </w:r>
      <w:r w:rsidRPr="000630B5" w:rsidR="00EA3C01">
        <w:rPr>
          <w:lang w:eastAsia="en-GB"/>
        </w:rPr>
        <w:t>no. </w:t>
      </w:r>
      <w:r w:rsidRPr="000630B5" w:rsidR="001E6A05">
        <w:t>76639/11, § 112, 25 September 2018</w:t>
      </w:r>
      <w:r w:rsidRPr="000630B5">
        <w:rPr>
          <w:rFonts w:cstheme="minorHAnsi"/>
          <w:szCs w:val="24"/>
        </w:rPr>
        <w:t>).</w:t>
      </w:r>
    </w:p>
    <w:p w:rsidRPr="000630B5" w:rsidR="00E7612E" w:rsidP="000630B5" w:rsidRDefault="00E7612E">
      <w:pPr>
        <w:pStyle w:val="ECHRPara"/>
        <w:rPr>
          <w:i/>
        </w:rPr>
      </w:pPr>
      <w:r w:rsidRPr="000630B5">
        <w:rPr>
          <w:rFonts w:cstheme="minorHAnsi"/>
          <w:szCs w:val="24"/>
        </w:rPr>
        <w:fldChar w:fldCharType="begin"/>
      </w:r>
      <w:r w:rsidRPr="000630B5">
        <w:rPr>
          <w:rFonts w:cstheme="minorHAnsi"/>
          <w:szCs w:val="24"/>
        </w:rPr>
        <w:instrText xml:space="preserve"> SEQ level0 \*arabic </w:instrText>
      </w:r>
      <w:r w:rsidRPr="000630B5">
        <w:rPr>
          <w:rFonts w:cstheme="minorHAnsi"/>
          <w:szCs w:val="24"/>
        </w:rPr>
        <w:fldChar w:fldCharType="separate"/>
      </w:r>
      <w:r w:rsidRPr="000630B5" w:rsidR="000630B5">
        <w:rPr>
          <w:rFonts w:cstheme="minorHAnsi"/>
          <w:noProof/>
          <w:szCs w:val="24"/>
        </w:rPr>
        <w:t>65</w:t>
      </w:r>
      <w:r w:rsidRPr="000630B5">
        <w:rPr>
          <w:rFonts w:cstheme="minorHAnsi"/>
          <w:szCs w:val="24"/>
        </w:rPr>
        <w:fldChar w:fldCharType="end"/>
      </w:r>
      <w:r w:rsidRPr="000630B5">
        <w:rPr>
          <w:rFonts w:cstheme="minorHAnsi"/>
          <w:szCs w:val="24"/>
        </w:rPr>
        <w:t>. </w:t>
      </w:r>
      <w:r w:rsidRPr="000630B5" w:rsidR="007C4888">
        <w:rPr>
          <w:rFonts w:cstheme="minorHAnsi"/>
          <w:szCs w:val="24"/>
        </w:rPr>
        <w:t> </w:t>
      </w:r>
      <w:r w:rsidRPr="000630B5">
        <w:rPr>
          <w:rFonts w:cstheme="minorHAnsi"/>
          <w:szCs w:val="24"/>
        </w:rPr>
        <w:t>The Court observes that what is at issue in the present case is not an act by the State but the alleged inadequacy of the protection afforded by the domestic courts to the applicant</w:t>
      </w:r>
      <w:r w:rsidRPr="000630B5" w:rsidR="000630B5">
        <w:rPr>
          <w:rFonts w:cstheme="minorHAnsi"/>
          <w:szCs w:val="24"/>
        </w:rPr>
        <w:t>’</w:t>
      </w:r>
      <w:r w:rsidRPr="000630B5">
        <w:rPr>
          <w:rFonts w:cstheme="minorHAnsi"/>
          <w:szCs w:val="24"/>
        </w:rPr>
        <w:t>s private life. While the essential object of Article 8 of the Convention is to protect the individual against arbitrary interference by the public authorities, it does not merely compel the State to abstain from such interference: in addition to this negative undertaking, there may be positive obligations inherent in effective respect for private or family life. These obligations may also involve the adoption of measures designed to secure respect for private life even in the sphere of the relations of individuals between themselves. The boundary between the State</w:t>
      </w:r>
      <w:r w:rsidRPr="000630B5" w:rsidR="000630B5">
        <w:rPr>
          <w:rFonts w:cstheme="minorHAnsi"/>
          <w:szCs w:val="24"/>
        </w:rPr>
        <w:t>’</w:t>
      </w:r>
      <w:r w:rsidRPr="000630B5">
        <w:rPr>
          <w:rFonts w:cstheme="minorHAnsi"/>
          <w:szCs w:val="24"/>
        </w:rPr>
        <w:t>s positive and negative obligations under Article 8 does not lend itself to precise definition; the applicable principles are, nonetheless, similar. In both contexts regard must be had to the fair balance that has to be struck between th</w:t>
      </w:r>
      <w:r w:rsidRPr="000630B5" w:rsidR="002E2053">
        <w:rPr>
          <w:rFonts w:cstheme="minorHAnsi"/>
          <w:szCs w:val="24"/>
        </w:rPr>
        <w:t xml:space="preserve">e relevant competing interests </w:t>
      </w:r>
      <w:r w:rsidRPr="000630B5">
        <w:rPr>
          <w:rFonts w:cstheme="minorHAnsi"/>
          <w:szCs w:val="24"/>
        </w:rPr>
        <w:t xml:space="preserve">(see </w:t>
      </w:r>
      <w:r w:rsidRPr="000630B5">
        <w:rPr>
          <w:i/>
        </w:rPr>
        <w:t xml:space="preserve">Von Hannover v. Germany (no. 2) </w:t>
      </w:r>
      <w:r w:rsidRPr="000630B5">
        <w:t>[GC], nos. 40660/08 and 60641/08</w:t>
      </w:r>
      <w:r w:rsidRPr="000630B5">
        <w:rPr>
          <w:snapToGrid w:val="0"/>
          <w:szCs w:val="24"/>
        </w:rPr>
        <w:t xml:space="preserve">, §§ 98-99, </w:t>
      </w:r>
      <w:r w:rsidRPr="000630B5">
        <w:rPr>
          <w:snapToGrid w:val="0"/>
        </w:rPr>
        <w:t>ECHR 2012</w:t>
      </w:r>
      <w:r w:rsidRPr="000630B5">
        <w:rPr>
          <w:rFonts w:cstheme="minorHAnsi"/>
          <w:szCs w:val="24"/>
        </w:rPr>
        <w:t>).</w:t>
      </w:r>
    </w:p>
    <w:p w:rsidRPr="000630B5" w:rsidR="00E7612E" w:rsidP="000630B5" w:rsidRDefault="00E7612E">
      <w:pPr>
        <w:pStyle w:val="ECHRPara"/>
        <w:rPr>
          <w:rFonts w:cstheme="minorHAnsi"/>
          <w:szCs w:val="24"/>
        </w:rPr>
      </w:pPr>
      <w:r w:rsidRPr="000630B5">
        <w:rPr>
          <w:rFonts w:cstheme="minorHAnsi"/>
          <w:szCs w:val="24"/>
        </w:rPr>
        <w:fldChar w:fldCharType="begin"/>
      </w:r>
      <w:r w:rsidRPr="000630B5">
        <w:rPr>
          <w:rFonts w:cstheme="minorHAnsi"/>
          <w:szCs w:val="24"/>
        </w:rPr>
        <w:instrText xml:space="preserve"> SEQ level0 \*arabic </w:instrText>
      </w:r>
      <w:r w:rsidRPr="000630B5">
        <w:rPr>
          <w:rFonts w:cstheme="minorHAnsi"/>
          <w:szCs w:val="24"/>
        </w:rPr>
        <w:fldChar w:fldCharType="separate"/>
      </w:r>
      <w:r w:rsidRPr="000630B5" w:rsidR="000630B5">
        <w:rPr>
          <w:rFonts w:cstheme="minorHAnsi"/>
          <w:noProof/>
          <w:szCs w:val="24"/>
        </w:rPr>
        <w:t>66</w:t>
      </w:r>
      <w:r w:rsidRPr="000630B5">
        <w:rPr>
          <w:rFonts w:cstheme="minorHAnsi"/>
          <w:szCs w:val="24"/>
        </w:rPr>
        <w:fldChar w:fldCharType="end"/>
      </w:r>
      <w:r w:rsidRPr="000630B5">
        <w:rPr>
          <w:rFonts w:cstheme="minorHAnsi"/>
          <w:szCs w:val="24"/>
        </w:rPr>
        <w:t>. </w:t>
      </w:r>
      <w:r w:rsidRPr="000630B5" w:rsidR="007C4888">
        <w:rPr>
          <w:rFonts w:cstheme="minorHAnsi"/>
          <w:szCs w:val="24"/>
        </w:rPr>
        <w:t> </w:t>
      </w:r>
      <w:r w:rsidRPr="000630B5">
        <w:rPr>
          <w:rFonts w:cstheme="minorHAnsi"/>
          <w:szCs w:val="24"/>
        </w:rPr>
        <w:t>In this respect, as concerns competing intere</w:t>
      </w:r>
      <w:r w:rsidRPr="000630B5" w:rsidR="00EA3C01">
        <w:rPr>
          <w:rFonts w:cstheme="minorHAnsi"/>
          <w:szCs w:val="24"/>
        </w:rPr>
        <w:t>sts under Article 8 and Article </w:t>
      </w:r>
      <w:r w:rsidRPr="000630B5">
        <w:rPr>
          <w:rFonts w:cstheme="minorHAnsi"/>
          <w:szCs w:val="24"/>
        </w:rPr>
        <w:t>10 of the Convention, the Court has established the following</w:t>
      </w:r>
      <w:r w:rsidRPr="000630B5" w:rsidR="001E6A05">
        <w:rPr>
          <w:rFonts w:cstheme="minorHAnsi"/>
          <w:szCs w:val="24"/>
        </w:rPr>
        <w:t xml:space="preserve"> general principles</w:t>
      </w:r>
      <w:r w:rsidRPr="000630B5">
        <w:rPr>
          <w:rFonts w:cstheme="minorHAnsi"/>
          <w:szCs w:val="24"/>
        </w:rPr>
        <w:t xml:space="preserve">, as summarised in </w:t>
      </w:r>
      <w:r w:rsidRPr="000630B5">
        <w:rPr>
          <w:rFonts w:cstheme="minorHAnsi"/>
          <w:i/>
          <w:szCs w:val="24"/>
        </w:rPr>
        <w:t>Delfi AS</w:t>
      </w:r>
      <w:r w:rsidRPr="000630B5">
        <w:rPr>
          <w:rFonts w:cstheme="minorHAnsi"/>
          <w:szCs w:val="24"/>
        </w:rPr>
        <w:t>, cited above, § 139:</w:t>
      </w:r>
    </w:p>
    <w:p w:rsidRPr="000630B5" w:rsidR="00E7612E" w:rsidP="000630B5" w:rsidRDefault="00E7612E">
      <w:pPr>
        <w:pStyle w:val="ECHRParaQuote"/>
        <w:rPr>
          <w:szCs w:val="24"/>
        </w:rPr>
      </w:pPr>
      <w:r w:rsidRPr="000630B5">
        <w:rPr>
          <w:snapToGrid w:val="0"/>
        </w:rPr>
        <w:t xml:space="preserve">“The Court has found that, as a matter of principle, the rights guaranteed under Articles 8 and 10 deserve equal respect, and the outcome of an application should not, in principle, vary according to whether it has been lodged with the Court under Article 10 of the Convention by the publisher of an offending article or under Article 8 of the Convention by the person who has been the subject of that article. Accordingly, the margin of appreciation should in principle be the same in both cases (see </w:t>
      </w:r>
      <w:r w:rsidRPr="000630B5">
        <w:rPr>
          <w:i/>
        </w:rPr>
        <w:t>Axel Springer AG</w:t>
      </w:r>
      <w:r w:rsidRPr="000630B5">
        <w:t>, cited above</w:t>
      </w:r>
      <w:r w:rsidRPr="000630B5">
        <w:rPr>
          <w:snapToGrid w:val="0"/>
          <w:szCs w:val="24"/>
        </w:rPr>
        <w:t>, § 87</w:t>
      </w:r>
      <w:r w:rsidRPr="000630B5">
        <w:t xml:space="preserve">, and </w:t>
      </w:r>
      <w:r w:rsidRPr="000630B5">
        <w:rPr>
          <w:i/>
        </w:rPr>
        <w:t xml:space="preserve">Von Hannover v. Germany (no. 2) </w:t>
      </w:r>
      <w:r w:rsidRPr="000630B5">
        <w:t>[GC], nos. 40660/08 and 60641/08</w:t>
      </w:r>
      <w:r w:rsidRPr="000630B5">
        <w:rPr>
          <w:snapToGrid w:val="0"/>
          <w:szCs w:val="24"/>
        </w:rPr>
        <w:t xml:space="preserve">, § 106, </w:t>
      </w:r>
      <w:r w:rsidRPr="000630B5">
        <w:rPr>
          <w:snapToGrid w:val="0"/>
        </w:rPr>
        <w:t xml:space="preserve">ECHR 2012, </w:t>
      </w:r>
      <w:r w:rsidRPr="000630B5">
        <w:t xml:space="preserve">with further references to the cases of </w:t>
      </w:r>
      <w:r w:rsidRPr="000630B5">
        <w:rPr>
          <w:i/>
        </w:rPr>
        <w:t>Hachette Filipacchi Associés</w:t>
      </w:r>
      <w:r w:rsidRPr="000630B5">
        <w:t xml:space="preserve">, cited above, § 41; </w:t>
      </w:r>
      <w:r w:rsidRPr="000630B5">
        <w:rPr>
          <w:i/>
          <w:snapToGrid w:val="0"/>
        </w:rPr>
        <w:t>Timciuc v. Romania</w:t>
      </w:r>
      <w:r w:rsidRPr="000630B5">
        <w:rPr>
          <w:snapToGrid w:val="0"/>
        </w:rPr>
        <w:t xml:space="preserve"> (dec.), no. 28999/03, § 144, 12 October 2010</w:t>
      </w:r>
      <w:r w:rsidRPr="000630B5">
        <w:t xml:space="preserve">; and </w:t>
      </w:r>
      <w:r w:rsidRPr="000630B5">
        <w:rPr>
          <w:i/>
        </w:rPr>
        <w:t>Mosley v. the United Kingdom</w:t>
      </w:r>
      <w:r w:rsidRPr="000630B5">
        <w:t>, no. 48009/08</w:t>
      </w:r>
      <w:r w:rsidRPr="000630B5">
        <w:rPr>
          <w:snapToGrid w:val="0"/>
          <w:szCs w:val="24"/>
        </w:rPr>
        <w:t xml:space="preserve">, § 111, 10 May 2011). </w:t>
      </w:r>
      <w:r w:rsidRPr="000630B5">
        <w:t>Where the balancing exercise between those two rights has been undertaken by the national authorities in conformity with the criteria laid down in the Court</w:t>
      </w:r>
      <w:r w:rsidRPr="000630B5" w:rsidR="000630B5">
        <w:t>’</w:t>
      </w:r>
      <w:r w:rsidRPr="000630B5">
        <w:t xml:space="preserve">s case-law, the Court would require strong reasons to substitute its view for that of the domestic courts (see </w:t>
      </w:r>
      <w:r w:rsidRPr="000630B5">
        <w:rPr>
          <w:i/>
        </w:rPr>
        <w:t>Axel Springer AG</w:t>
      </w:r>
      <w:r w:rsidRPr="000630B5">
        <w:t>, cited above</w:t>
      </w:r>
      <w:r w:rsidRPr="000630B5">
        <w:rPr>
          <w:snapToGrid w:val="0"/>
          <w:szCs w:val="24"/>
        </w:rPr>
        <w:t xml:space="preserve">, § 88, </w:t>
      </w:r>
      <w:r w:rsidRPr="000630B5">
        <w:t xml:space="preserve">and </w:t>
      </w:r>
      <w:r w:rsidRPr="000630B5">
        <w:rPr>
          <w:i/>
        </w:rPr>
        <w:t>Von Hannover (no. 2)</w:t>
      </w:r>
      <w:r w:rsidRPr="000630B5">
        <w:t xml:space="preserve">, cited above, </w:t>
      </w:r>
      <w:r w:rsidRPr="000630B5">
        <w:rPr>
          <w:lang w:val="et-EE"/>
        </w:rPr>
        <w:t>§</w:t>
      </w:r>
      <w:r w:rsidRPr="000630B5">
        <w:t xml:space="preserve"> 107, with further references to </w:t>
      </w:r>
      <w:r w:rsidRPr="000630B5">
        <w:rPr>
          <w:i/>
        </w:rPr>
        <w:t>MGN Limited</w:t>
      </w:r>
      <w:r w:rsidRPr="000630B5">
        <w:rPr>
          <w:snapToGrid w:val="0"/>
          <w:lang w:val="en-US"/>
        </w:rPr>
        <w:t>, cited above, §§ 150 and 155</w:t>
      </w:r>
      <w:r w:rsidRPr="000630B5">
        <w:rPr>
          <w:lang w:val="en-US"/>
        </w:rPr>
        <w:t>, and</w:t>
      </w:r>
      <w:r w:rsidRPr="000630B5">
        <w:rPr>
          <w:snapToGrid w:val="0"/>
        </w:rPr>
        <w:t xml:space="preserve"> </w:t>
      </w:r>
      <w:r w:rsidRPr="000630B5">
        <w:rPr>
          <w:i/>
        </w:rPr>
        <w:t>Palomo Sánchez and Others v. Spain</w:t>
      </w:r>
      <w:r w:rsidRPr="000630B5">
        <w:t xml:space="preserve"> [GC], </w:t>
      </w:r>
      <w:r w:rsidRPr="000630B5">
        <w:rPr>
          <w:snapToGrid w:val="0"/>
        </w:rPr>
        <w:t>no</w:t>
      </w:r>
      <w:r w:rsidRPr="000630B5">
        <w:t>s</w:t>
      </w:r>
      <w:r w:rsidRPr="000630B5">
        <w:rPr>
          <w:snapToGrid w:val="0"/>
        </w:rPr>
        <w:t>.</w:t>
      </w:r>
      <w:r w:rsidRPr="000630B5">
        <w:t> 28955/06, 28957/06, 28959/06 and 28964/06</w:t>
      </w:r>
      <w:r w:rsidRPr="000630B5">
        <w:rPr>
          <w:snapToGrid w:val="0"/>
          <w:lang w:val="en-US"/>
        </w:rPr>
        <w:t xml:space="preserve">, § 57, </w:t>
      </w:r>
      <w:r w:rsidRPr="000630B5">
        <w:rPr>
          <w:lang w:val="en-US"/>
        </w:rPr>
        <w:t>12 September </w:t>
      </w:r>
      <w:r w:rsidRPr="000630B5">
        <w:rPr>
          <w:snapToGrid w:val="0"/>
          <w:lang w:val="en-US"/>
        </w:rPr>
        <w:t>2011</w:t>
      </w:r>
      <w:r w:rsidRPr="000630B5">
        <w:t>). In other words, t</w:t>
      </w:r>
      <w:r w:rsidRPr="000630B5">
        <w:rPr>
          <w:snapToGrid w:val="0"/>
          <w:szCs w:val="24"/>
        </w:rPr>
        <w:t xml:space="preserve">here will usually be a wide margin afforded by the Court if the State is required to strike a balance between competing private interests or competing Convention rights (see </w:t>
      </w:r>
      <w:r w:rsidRPr="000630B5">
        <w:rPr>
          <w:i/>
          <w:szCs w:val="24"/>
        </w:rPr>
        <w:t>Evans v. the United Kingdom</w:t>
      </w:r>
      <w:r w:rsidRPr="000630B5">
        <w:rPr>
          <w:szCs w:val="24"/>
        </w:rPr>
        <w:t xml:space="preserve"> [GC], no. 6339/05</w:t>
      </w:r>
      <w:r w:rsidRPr="000630B5">
        <w:t>, § 77, ECHR 2007</w:t>
      </w:r>
      <w:r w:rsidRPr="000630B5">
        <w:noBreakHyphen/>
        <w:t xml:space="preserve">I; </w:t>
      </w:r>
      <w:r w:rsidRPr="000630B5">
        <w:rPr>
          <w:i/>
        </w:rPr>
        <w:t>Chassagnou and Others v. France</w:t>
      </w:r>
      <w:r w:rsidRPr="000630B5">
        <w:t xml:space="preserve"> [GC], nos. 25088/94, 28331/95 and 28443/95, § 113, ECHR 1999</w:t>
      </w:r>
      <w:r w:rsidRPr="000630B5">
        <w:noBreakHyphen/>
        <w:t xml:space="preserve">III; and </w:t>
      </w:r>
      <w:r w:rsidRPr="000630B5">
        <w:rPr>
          <w:i/>
        </w:rPr>
        <w:t>Ashby Donald and Others v. France</w:t>
      </w:r>
      <w:r w:rsidRPr="000630B5">
        <w:t>, no. 36769/08</w:t>
      </w:r>
      <w:r w:rsidRPr="000630B5">
        <w:rPr>
          <w:snapToGrid w:val="0"/>
        </w:rPr>
        <w:t xml:space="preserve">, § 40, </w:t>
      </w:r>
      <w:r w:rsidRPr="000630B5">
        <w:t>10</w:t>
      </w:r>
      <w:r w:rsidRPr="000630B5">
        <w:rPr>
          <w:snapToGrid w:val="0"/>
        </w:rPr>
        <w:t xml:space="preserve"> January 2013</w:t>
      </w:r>
      <w:r w:rsidRPr="000630B5">
        <w:rPr>
          <w:snapToGrid w:val="0"/>
          <w:szCs w:val="24"/>
        </w:rPr>
        <w:t>).”</w:t>
      </w:r>
    </w:p>
    <w:p w:rsidRPr="000630B5" w:rsidR="00E7612E" w:rsidP="000630B5" w:rsidRDefault="00E7612E">
      <w:pPr>
        <w:pStyle w:val="ECHRPara"/>
      </w:pPr>
      <w:r w:rsidRPr="000630B5">
        <w:rPr>
          <w:rFonts w:cstheme="minorHAnsi"/>
          <w:szCs w:val="24"/>
        </w:rPr>
        <w:fldChar w:fldCharType="begin"/>
      </w:r>
      <w:r w:rsidRPr="000630B5">
        <w:rPr>
          <w:rFonts w:cstheme="minorHAnsi"/>
          <w:szCs w:val="24"/>
        </w:rPr>
        <w:instrText xml:space="preserve"> SEQ level0 \*arabic </w:instrText>
      </w:r>
      <w:r w:rsidRPr="000630B5">
        <w:rPr>
          <w:rFonts w:cstheme="minorHAnsi"/>
          <w:szCs w:val="24"/>
        </w:rPr>
        <w:fldChar w:fldCharType="separate"/>
      </w:r>
      <w:r w:rsidRPr="000630B5" w:rsidR="000630B5">
        <w:rPr>
          <w:rFonts w:cstheme="minorHAnsi"/>
          <w:noProof/>
          <w:szCs w:val="24"/>
        </w:rPr>
        <w:t>67</w:t>
      </w:r>
      <w:r w:rsidRPr="000630B5">
        <w:rPr>
          <w:rFonts w:cstheme="minorHAnsi"/>
          <w:szCs w:val="24"/>
        </w:rPr>
        <w:fldChar w:fldCharType="end"/>
      </w:r>
      <w:r w:rsidRPr="000630B5">
        <w:rPr>
          <w:rFonts w:cstheme="minorHAnsi"/>
          <w:szCs w:val="24"/>
        </w:rPr>
        <w:t>.  In making this proportionality assessment, the Court has also identified the following specific aspects of freedom of</w:t>
      </w:r>
      <w:r w:rsidRPr="000630B5" w:rsidR="001E6A05">
        <w:rPr>
          <w:rFonts w:cstheme="minorHAnsi"/>
          <w:szCs w:val="24"/>
        </w:rPr>
        <w:t xml:space="preserve"> expression</w:t>
      </w:r>
      <w:r w:rsidRPr="000630B5">
        <w:rPr>
          <w:rFonts w:cstheme="minorHAnsi"/>
          <w:szCs w:val="24"/>
        </w:rPr>
        <w:t xml:space="preserve"> as being relevant for the concrete assessment of the interference in question: the context of the comments, the measures applied by the company in order to prevent or remove defamatory comments, the liability of the actual authors of the comments as an alternative to the intermediary</w:t>
      </w:r>
      <w:r w:rsidRPr="000630B5" w:rsidR="000630B5">
        <w:rPr>
          <w:rFonts w:cstheme="minorHAnsi"/>
          <w:szCs w:val="24"/>
        </w:rPr>
        <w:t>’</w:t>
      </w:r>
      <w:r w:rsidRPr="000630B5">
        <w:rPr>
          <w:rFonts w:cstheme="minorHAnsi"/>
          <w:szCs w:val="24"/>
        </w:rPr>
        <w:t xml:space="preserve">s liability, and the consequences of the domestic proceedings for the company (see </w:t>
      </w:r>
      <w:r w:rsidRPr="000630B5">
        <w:rPr>
          <w:rFonts w:cstheme="minorHAnsi"/>
          <w:i/>
          <w:szCs w:val="24"/>
        </w:rPr>
        <w:t>Delfi AS</w:t>
      </w:r>
      <w:r w:rsidRPr="000630B5">
        <w:rPr>
          <w:rFonts w:cstheme="minorHAnsi"/>
          <w:szCs w:val="24"/>
        </w:rPr>
        <w:t xml:space="preserve">, cited above, §§ 142-143 and </w:t>
      </w:r>
      <w:r w:rsidRPr="000630B5">
        <w:rPr>
          <w:i/>
        </w:rPr>
        <w:t>Magyar Tartalomszolgáltatók Egyesülete and Index.hu Zrt</w:t>
      </w:r>
      <w:r w:rsidRPr="000630B5">
        <w:t xml:space="preserve"> </w:t>
      </w:r>
      <w:r w:rsidRPr="000630B5">
        <w:rPr>
          <w:i/>
        </w:rPr>
        <w:t>v. Hungary</w:t>
      </w:r>
      <w:r w:rsidRPr="000630B5">
        <w:t>, no. 22947/13</w:t>
      </w:r>
      <w:r w:rsidRPr="000630B5">
        <w:rPr>
          <w:snapToGrid w:val="0"/>
        </w:rPr>
        <w:t>, § 69, 2 February 2016</w:t>
      </w:r>
      <w:r w:rsidRPr="000630B5">
        <w:rPr>
          <w:rFonts w:cstheme="minorHAnsi"/>
          <w:szCs w:val="24"/>
        </w:rPr>
        <w:t>).</w:t>
      </w:r>
    </w:p>
    <w:p w:rsidRPr="000630B5" w:rsidR="00E7612E" w:rsidP="000630B5" w:rsidRDefault="00E7612E">
      <w:pPr>
        <w:pStyle w:val="ECHRPara"/>
        <w:rPr>
          <w:rFonts w:cstheme="minorHAnsi"/>
          <w:szCs w:val="24"/>
        </w:rPr>
      </w:pPr>
      <w:r w:rsidRPr="000630B5">
        <w:rPr>
          <w:rFonts w:cstheme="minorHAnsi"/>
          <w:szCs w:val="24"/>
        </w:rPr>
        <w:fldChar w:fldCharType="begin"/>
      </w:r>
      <w:r w:rsidRPr="000630B5">
        <w:rPr>
          <w:rFonts w:cstheme="minorHAnsi"/>
          <w:szCs w:val="24"/>
        </w:rPr>
        <w:instrText xml:space="preserve"> SEQ level0 \*arabic </w:instrText>
      </w:r>
      <w:r w:rsidRPr="000630B5">
        <w:rPr>
          <w:rFonts w:cstheme="minorHAnsi"/>
          <w:szCs w:val="24"/>
        </w:rPr>
        <w:fldChar w:fldCharType="separate"/>
      </w:r>
      <w:r w:rsidRPr="000630B5" w:rsidR="000630B5">
        <w:rPr>
          <w:rFonts w:cstheme="minorHAnsi"/>
          <w:noProof/>
          <w:szCs w:val="24"/>
        </w:rPr>
        <w:t>68</w:t>
      </w:r>
      <w:r w:rsidRPr="000630B5">
        <w:rPr>
          <w:rFonts w:cstheme="minorHAnsi"/>
          <w:szCs w:val="24"/>
        </w:rPr>
        <w:fldChar w:fldCharType="end"/>
      </w:r>
      <w:r w:rsidRPr="000630B5">
        <w:rPr>
          <w:rFonts w:cstheme="minorHAnsi"/>
          <w:szCs w:val="24"/>
        </w:rPr>
        <w:t>.</w:t>
      </w:r>
      <w:r w:rsidRPr="000630B5" w:rsidR="007C4888">
        <w:rPr>
          <w:rFonts w:cstheme="minorHAnsi"/>
          <w:szCs w:val="24"/>
        </w:rPr>
        <w:t>  </w:t>
      </w:r>
      <w:r w:rsidRPr="000630B5">
        <w:rPr>
          <w:rFonts w:cstheme="minorHAnsi"/>
          <w:szCs w:val="24"/>
        </w:rPr>
        <w:t xml:space="preserve">The question is thus whether, in the present case, the State has </w:t>
      </w:r>
      <w:r w:rsidRPr="000630B5" w:rsidR="001E6A05">
        <w:rPr>
          <w:rFonts w:cstheme="minorHAnsi"/>
          <w:szCs w:val="24"/>
        </w:rPr>
        <w:t>struck</w:t>
      </w:r>
      <w:r w:rsidRPr="000630B5">
        <w:rPr>
          <w:rFonts w:cstheme="minorHAnsi"/>
          <w:szCs w:val="24"/>
        </w:rPr>
        <w:t xml:space="preserve"> a fair balance between the applicant</w:t>
      </w:r>
      <w:r w:rsidRPr="000630B5" w:rsidR="000630B5">
        <w:rPr>
          <w:rFonts w:cstheme="minorHAnsi"/>
          <w:szCs w:val="24"/>
        </w:rPr>
        <w:t>’</w:t>
      </w:r>
      <w:r w:rsidRPr="000630B5">
        <w:rPr>
          <w:rFonts w:cstheme="minorHAnsi"/>
          <w:szCs w:val="24"/>
        </w:rPr>
        <w:t>s right to respect for her private life under Article 8 and the online news agency and forum host</w:t>
      </w:r>
      <w:r w:rsidRPr="000630B5" w:rsidR="000630B5">
        <w:rPr>
          <w:rFonts w:cstheme="minorHAnsi"/>
          <w:szCs w:val="24"/>
        </w:rPr>
        <w:t>’</w:t>
      </w:r>
      <w:r w:rsidRPr="000630B5">
        <w:rPr>
          <w:rFonts w:cstheme="minorHAnsi"/>
          <w:szCs w:val="24"/>
        </w:rPr>
        <w:t>s right to freedom of expression guaranteed by Article 10 of the Convention.</w:t>
      </w:r>
    </w:p>
    <w:p w:rsidRPr="000630B5" w:rsidR="00E7612E" w:rsidP="000630B5" w:rsidRDefault="00841F8D">
      <w:pPr>
        <w:pStyle w:val="ECHRPara"/>
      </w:pPr>
      <w:r w:rsidRPr="000630B5">
        <w:fldChar w:fldCharType="begin"/>
      </w:r>
      <w:r w:rsidRPr="000630B5">
        <w:instrText xml:space="preserve"> SEQ level0 \*arabic </w:instrText>
      </w:r>
      <w:r w:rsidRPr="000630B5">
        <w:fldChar w:fldCharType="separate"/>
      </w:r>
      <w:r w:rsidRPr="000630B5" w:rsidR="000630B5">
        <w:rPr>
          <w:noProof/>
        </w:rPr>
        <w:t>69</w:t>
      </w:r>
      <w:r w:rsidRPr="000630B5">
        <w:rPr>
          <w:noProof/>
        </w:rPr>
        <w:fldChar w:fldCharType="end"/>
      </w:r>
      <w:r w:rsidRPr="000630B5" w:rsidR="00E7612E">
        <w:t>. </w:t>
      </w:r>
      <w:r w:rsidRPr="000630B5" w:rsidR="007C4888">
        <w:t> </w:t>
      </w:r>
      <w:r w:rsidRPr="000630B5" w:rsidR="005C0056">
        <w:t>In this connection, t</w:t>
      </w:r>
      <w:r w:rsidRPr="000630B5" w:rsidR="00E7612E">
        <w:t xml:space="preserve">he Court notes </w:t>
      </w:r>
      <w:r w:rsidRPr="000630B5" w:rsidR="005C0056">
        <w:t xml:space="preserve">at the outset </w:t>
      </w:r>
      <w:r w:rsidRPr="000630B5" w:rsidR="00E7612E">
        <w:t>that the comments made about the applicant were found by the City Court not to constitute defamation under Articles 246 or 247 o</w:t>
      </w:r>
      <w:r w:rsidRPr="000630B5" w:rsidR="00511F63">
        <w:t>f the Penal Code (see paragraph </w:t>
      </w:r>
      <w:r w:rsidRPr="000630B5" w:rsidR="00126718">
        <w:t>43</w:t>
      </w:r>
      <w:r w:rsidRPr="000630B5" w:rsidR="00E7612E">
        <w:t xml:space="preserve"> above), while the High Court deemed it unnecessary to take a stand on whether the comments were defamatory. The Court</w:t>
      </w:r>
      <w:r w:rsidRPr="000630B5" w:rsidR="00AE01FB">
        <w:t xml:space="preserve"> </w:t>
      </w:r>
      <w:r w:rsidRPr="000630B5" w:rsidR="00E7612E">
        <w:t>also considers that it is not necessary to examine</w:t>
      </w:r>
      <w:r w:rsidRPr="000630B5" w:rsidR="001E6A05">
        <w:t xml:space="preserve"> in depth</w:t>
      </w:r>
      <w:r w:rsidRPr="000630B5" w:rsidR="00E7612E">
        <w:t xml:space="preserve"> the nature of the impugned comments</w:t>
      </w:r>
      <w:r w:rsidRPr="000630B5" w:rsidR="001E6A05">
        <w:t xml:space="preserve">, as they in any event </w:t>
      </w:r>
      <w:r w:rsidRPr="000630B5" w:rsidR="00E7612E">
        <w:t xml:space="preserve">did not amount to hate speech or incitement to violence (contrast </w:t>
      </w:r>
      <w:r w:rsidRPr="000630B5" w:rsidR="00E7612E">
        <w:rPr>
          <w:i/>
        </w:rPr>
        <w:t>Delfi AS</w:t>
      </w:r>
      <w:r w:rsidRPr="000630B5" w:rsidR="00E7612E">
        <w:t xml:space="preserve">, cited above, §§ 18, 114 and 162; compare </w:t>
      </w:r>
      <w:r w:rsidRPr="000630B5" w:rsidR="00E7612E">
        <w:rPr>
          <w:i/>
        </w:rPr>
        <w:t>Pihl</w:t>
      </w:r>
      <w:r w:rsidRPr="000630B5" w:rsidR="00151EED">
        <w:t xml:space="preserve">, cited above, </w:t>
      </w:r>
      <w:r w:rsidRPr="000630B5" w:rsidR="00E7612E">
        <w:t>§</w:t>
      </w:r>
      <w:r w:rsidRPr="000630B5" w:rsidR="000549EA">
        <w:t>§ </w:t>
      </w:r>
      <w:r w:rsidRPr="000630B5" w:rsidR="00E7612E">
        <w:t>23-25</w:t>
      </w:r>
      <w:r w:rsidRPr="000630B5" w:rsidR="00151EED">
        <w:t>)</w:t>
      </w:r>
      <w:r w:rsidRPr="000630B5" w:rsidR="00E7612E">
        <w:t>.</w:t>
      </w:r>
    </w:p>
    <w:p w:rsidRPr="000630B5" w:rsidR="00E7612E" w:rsidP="000630B5" w:rsidRDefault="00E7612E">
      <w:pPr>
        <w:pStyle w:val="ECHRPara"/>
        <w:rPr>
          <w:rFonts w:cstheme="minorHAnsi"/>
          <w:szCs w:val="24"/>
        </w:rPr>
      </w:pPr>
      <w:r w:rsidRPr="000630B5">
        <w:rPr>
          <w:rFonts w:cstheme="minorHAnsi"/>
          <w:szCs w:val="24"/>
        </w:rPr>
        <w:fldChar w:fldCharType="begin"/>
      </w:r>
      <w:r w:rsidRPr="000630B5">
        <w:rPr>
          <w:rFonts w:cstheme="minorHAnsi"/>
          <w:szCs w:val="24"/>
        </w:rPr>
        <w:instrText xml:space="preserve"> SEQ level0 \*arabic </w:instrText>
      </w:r>
      <w:r w:rsidRPr="000630B5">
        <w:rPr>
          <w:rFonts w:cstheme="minorHAnsi"/>
          <w:szCs w:val="24"/>
        </w:rPr>
        <w:fldChar w:fldCharType="separate"/>
      </w:r>
      <w:r w:rsidRPr="000630B5" w:rsidR="000630B5">
        <w:rPr>
          <w:rFonts w:cstheme="minorHAnsi"/>
          <w:noProof/>
          <w:szCs w:val="24"/>
        </w:rPr>
        <w:t>70</w:t>
      </w:r>
      <w:r w:rsidRPr="000630B5">
        <w:rPr>
          <w:rFonts w:cstheme="minorHAnsi"/>
          <w:szCs w:val="24"/>
        </w:rPr>
        <w:fldChar w:fldCharType="end"/>
      </w:r>
      <w:r w:rsidRPr="000630B5">
        <w:rPr>
          <w:rFonts w:cstheme="minorHAnsi"/>
          <w:szCs w:val="24"/>
        </w:rPr>
        <w:t>.  Turning to the possibilities for the applicant to pursue claims against the anonymous individual or individuals who had written the comments, the Court sees no reason to contest the applicant</w:t>
      </w:r>
      <w:r w:rsidRPr="000630B5" w:rsidR="000630B5">
        <w:rPr>
          <w:rFonts w:cstheme="minorHAnsi"/>
          <w:szCs w:val="24"/>
        </w:rPr>
        <w:t>’</w:t>
      </w:r>
      <w:r w:rsidRPr="000630B5">
        <w:rPr>
          <w:rFonts w:cstheme="minorHAnsi"/>
          <w:szCs w:val="24"/>
        </w:rPr>
        <w:t>s allegation that she would have faced considerable obstacles in attempting to do so.</w:t>
      </w:r>
    </w:p>
    <w:p w:rsidRPr="000630B5" w:rsidR="001E6A05" w:rsidP="000630B5" w:rsidRDefault="00E7612E">
      <w:pPr>
        <w:pStyle w:val="ECHRPara"/>
        <w:rPr>
          <w:rFonts w:cstheme="minorHAnsi"/>
          <w:szCs w:val="24"/>
        </w:rPr>
      </w:pPr>
      <w:r w:rsidRPr="000630B5">
        <w:rPr>
          <w:rFonts w:cstheme="minorHAnsi"/>
          <w:szCs w:val="24"/>
        </w:rPr>
        <w:fldChar w:fldCharType="begin"/>
      </w:r>
      <w:r w:rsidRPr="000630B5">
        <w:rPr>
          <w:rFonts w:cstheme="minorHAnsi"/>
          <w:szCs w:val="24"/>
        </w:rPr>
        <w:instrText xml:space="preserve"> SEQ level0 \*arabic </w:instrText>
      </w:r>
      <w:r w:rsidRPr="000630B5">
        <w:rPr>
          <w:rFonts w:cstheme="minorHAnsi"/>
          <w:szCs w:val="24"/>
        </w:rPr>
        <w:fldChar w:fldCharType="separate"/>
      </w:r>
      <w:r w:rsidRPr="000630B5" w:rsidR="000630B5">
        <w:rPr>
          <w:rFonts w:cstheme="minorHAnsi"/>
          <w:noProof/>
          <w:szCs w:val="24"/>
        </w:rPr>
        <w:t>71</w:t>
      </w:r>
      <w:r w:rsidRPr="000630B5">
        <w:rPr>
          <w:rFonts w:cstheme="minorHAnsi"/>
          <w:szCs w:val="24"/>
        </w:rPr>
        <w:fldChar w:fldCharType="end"/>
      </w:r>
      <w:r w:rsidRPr="000630B5">
        <w:rPr>
          <w:rFonts w:cstheme="minorHAnsi"/>
          <w:szCs w:val="24"/>
        </w:rPr>
        <w:t xml:space="preserve">.  As to the context in which the comments were made, the Court takes account of the fact that </w:t>
      </w:r>
      <w:r w:rsidRPr="000630B5">
        <w:rPr>
          <w:rFonts w:cstheme="minorHAnsi"/>
          <w:i/>
          <w:szCs w:val="24"/>
        </w:rPr>
        <w:t xml:space="preserve">Hegnar Online </w:t>
      </w:r>
      <w:r w:rsidRPr="000630B5">
        <w:rPr>
          <w:rFonts w:cstheme="minorHAnsi"/>
          <w:szCs w:val="24"/>
        </w:rPr>
        <w:t>was a large, commercially run news portal and that the debate forums were popular. It does not appear, however, from the judgments of the domestic courts that the debate forums were particularly integrated in the presentation of news and thus could be taken to be a continua</w:t>
      </w:r>
      <w:r w:rsidRPr="000630B5" w:rsidR="001E6A05">
        <w:rPr>
          <w:rFonts w:cstheme="minorHAnsi"/>
          <w:szCs w:val="24"/>
        </w:rPr>
        <w:t>tion of the editorial articles.</w:t>
      </w:r>
    </w:p>
    <w:p w:rsidRPr="000630B5" w:rsidR="00E7612E" w:rsidP="000630B5" w:rsidRDefault="00E7612E">
      <w:pPr>
        <w:pStyle w:val="ECHRPara"/>
        <w:rPr>
          <w:rFonts w:cstheme="minorHAnsi"/>
          <w:szCs w:val="24"/>
        </w:rPr>
      </w:pPr>
      <w:r w:rsidRPr="000630B5">
        <w:rPr>
          <w:rFonts w:cstheme="minorHAnsi"/>
          <w:szCs w:val="24"/>
        </w:rPr>
        <w:fldChar w:fldCharType="begin"/>
      </w:r>
      <w:r w:rsidRPr="000630B5">
        <w:rPr>
          <w:rFonts w:cstheme="minorHAnsi"/>
          <w:szCs w:val="24"/>
        </w:rPr>
        <w:instrText xml:space="preserve"> SEQ level0 \*arabic </w:instrText>
      </w:r>
      <w:r w:rsidRPr="000630B5">
        <w:rPr>
          <w:rFonts w:cstheme="minorHAnsi"/>
          <w:szCs w:val="24"/>
        </w:rPr>
        <w:fldChar w:fldCharType="separate"/>
      </w:r>
      <w:r w:rsidRPr="000630B5" w:rsidR="000630B5">
        <w:rPr>
          <w:rFonts w:cstheme="minorHAnsi"/>
          <w:noProof/>
          <w:szCs w:val="24"/>
        </w:rPr>
        <w:t>72</w:t>
      </w:r>
      <w:r w:rsidRPr="000630B5">
        <w:rPr>
          <w:rFonts w:cstheme="minorHAnsi"/>
          <w:szCs w:val="24"/>
        </w:rPr>
        <w:fldChar w:fldCharType="end"/>
      </w:r>
      <w:r w:rsidRPr="000630B5">
        <w:rPr>
          <w:rFonts w:cstheme="minorHAnsi"/>
          <w:szCs w:val="24"/>
        </w:rPr>
        <w:t xml:space="preserve">.  With respect to the measures adopted by </w:t>
      </w:r>
      <w:r w:rsidRPr="000630B5">
        <w:rPr>
          <w:rFonts w:cstheme="minorHAnsi"/>
          <w:i/>
          <w:szCs w:val="24"/>
        </w:rPr>
        <w:t>Hegnar Online</w:t>
      </w:r>
      <w:r w:rsidRPr="000630B5">
        <w:rPr>
          <w:rFonts w:cstheme="minorHAnsi"/>
          <w:szCs w:val="24"/>
        </w:rPr>
        <w:t>, it appears that there was an established system of moderators who monitored content, although it is stated in the High Court</w:t>
      </w:r>
      <w:r w:rsidRPr="000630B5" w:rsidR="000630B5">
        <w:rPr>
          <w:rFonts w:cstheme="minorHAnsi"/>
          <w:szCs w:val="24"/>
        </w:rPr>
        <w:t>’</w:t>
      </w:r>
      <w:r w:rsidRPr="000630B5">
        <w:rPr>
          <w:rFonts w:cstheme="minorHAnsi"/>
          <w:szCs w:val="24"/>
        </w:rPr>
        <w:t>s judgment that they may not have discovered a great number of unlawful comments to remove of their own motion. Moreover, readers could click on “warning” buttons in order to notify their react</w:t>
      </w:r>
      <w:r w:rsidRPr="000630B5" w:rsidR="00126718">
        <w:rPr>
          <w:rFonts w:cstheme="minorHAnsi"/>
          <w:szCs w:val="24"/>
        </w:rPr>
        <w:t>ion to comments (see paragraph 3</w:t>
      </w:r>
      <w:r w:rsidRPr="000630B5">
        <w:rPr>
          <w:rFonts w:cstheme="minorHAnsi"/>
          <w:szCs w:val="24"/>
        </w:rPr>
        <w:t>7 above). Lastly, it appears from the present case that a response was also given to warnings by other means, such as email.</w:t>
      </w:r>
    </w:p>
    <w:p w:rsidRPr="000630B5" w:rsidR="00E7612E" w:rsidP="000630B5" w:rsidRDefault="00E7612E">
      <w:pPr>
        <w:pStyle w:val="ECHRPara"/>
        <w:rPr>
          <w:rFonts w:cstheme="minorHAnsi"/>
          <w:szCs w:val="24"/>
        </w:rPr>
      </w:pPr>
      <w:r w:rsidRPr="000630B5">
        <w:rPr>
          <w:rFonts w:cstheme="minorHAnsi"/>
          <w:szCs w:val="24"/>
        </w:rPr>
        <w:fldChar w:fldCharType="begin"/>
      </w:r>
      <w:r w:rsidRPr="000630B5">
        <w:rPr>
          <w:rFonts w:cstheme="minorHAnsi"/>
          <w:szCs w:val="24"/>
        </w:rPr>
        <w:instrText xml:space="preserve"> SEQ level0 \*arabic </w:instrText>
      </w:r>
      <w:r w:rsidRPr="000630B5">
        <w:rPr>
          <w:rFonts w:cstheme="minorHAnsi"/>
          <w:szCs w:val="24"/>
        </w:rPr>
        <w:fldChar w:fldCharType="separate"/>
      </w:r>
      <w:r w:rsidRPr="000630B5" w:rsidR="000630B5">
        <w:rPr>
          <w:rFonts w:cstheme="minorHAnsi"/>
          <w:noProof/>
          <w:szCs w:val="24"/>
        </w:rPr>
        <w:t>73</w:t>
      </w:r>
      <w:r w:rsidRPr="000630B5">
        <w:rPr>
          <w:rFonts w:cstheme="minorHAnsi"/>
          <w:szCs w:val="24"/>
        </w:rPr>
        <w:fldChar w:fldCharType="end"/>
      </w:r>
      <w:r w:rsidRPr="000630B5">
        <w:rPr>
          <w:rFonts w:cstheme="minorHAnsi"/>
          <w:szCs w:val="24"/>
        </w:rPr>
        <w:t xml:space="preserve">.  In the instant case, “comment 1” and “comment 2” had not been picked up by the moderators, but on 17 November 2017, </w:t>
      </w:r>
      <w:r w:rsidRPr="000630B5" w:rsidR="004522A0">
        <w:rPr>
          <w:rFonts w:cstheme="minorHAnsi"/>
          <w:szCs w:val="24"/>
        </w:rPr>
        <w:t>thirteen</w:t>
      </w:r>
      <w:r w:rsidRPr="000630B5">
        <w:rPr>
          <w:rFonts w:cstheme="minorHAnsi"/>
          <w:szCs w:val="24"/>
        </w:rPr>
        <w:t xml:space="preserve"> minutes after having notified them, the applicant</w:t>
      </w:r>
      <w:r w:rsidRPr="000630B5" w:rsidR="000630B5">
        <w:rPr>
          <w:rFonts w:cstheme="minorHAnsi"/>
          <w:szCs w:val="24"/>
        </w:rPr>
        <w:t>’</w:t>
      </w:r>
      <w:r w:rsidRPr="000630B5">
        <w:rPr>
          <w:rFonts w:cstheme="minorHAnsi"/>
          <w:szCs w:val="24"/>
        </w:rPr>
        <w:t xml:space="preserve">s counsel received an email stating that the comments had been deleted (compare </w:t>
      </w:r>
      <w:r w:rsidRPr="000630B5">
        <w:rPr>
          <w:rFonts w:cstheme="minorHAnsi"/>
          <w:i/>
          <w:szCs w:val="24"/>
        </w:rPr>
        <w:t>Pihl</w:t>
      </w:r>
      <w:r w:rsidRPr="000630B5">
        <w:rPr>
          <w:rFonts w:cstheme="minorHAnsi"/>
          <w:szCs w:val="24"/>
        </w:rPr>
        <w:t>, cited above, § 32, about removal of an unlawful comment one day after notification had been given). The comments had been online since 6 and 8 November 201</w:t>
      </w:r>
      <w:r w:rsidRPr="000630B5" w:rsidR="001E6A05">
        <w:rPr>
          <w:rFonts w:cstheme="minorHAnsi"/>
          <w:szCs w:val="24"/>
        </w:rPr>
        <w:t>0</w:t>
      </w:r>
      <w:r w:rsidRPr="000630B5">
        <w:rPr>
          <w:rFonts w:cstheme="minorHAnsi"/>
          <w:szCs w:val="24"/>
        </w:rPr>
        <w:t>, respectively. “Comment 3”, posted on 30 November 2010, had been deleted on the moderator</w:t>
      </w:r>
      <w:r w:rsidRPr="000630B5" w:rsidR="000630B5">
        <w:rPr>
          <w:rFonts w:cstheme="minorHAnsi"/>
          <w:szCs w:val="24"/>
        </w:rPr>
        <w:t>’</w:t>
      </w:r>
      <w:r w:rsidRPr="000630B5">
        <w:rPr>
          <w:rFonts w:cstheme="minorHAnsi"/>
          <w:szCs w:val="24"/>
        </w:rPr>
        <w:t>s own initiative before r</w:t>
      </w:r>
      <w:r w:rsidRPr="000630B5" w:rsidR="00EA3C01">
        <w:rPr>
          <w:rFonts w:cstheme="minorHAnsi"/>
          <w:szCs w:val="24"/>
        </w:rPr>
        <w:t>eceipt of the notification on 3 </w:t>
      </w:r>
      <w:r w:rsidRPr="000630B5">
        <w:rPr>
          <w:rFonts w:cstheme="minorHAnsi"/>
          <w:szCs w:val="24"/>
        </w:rPr>
        <w:t xml:space="preserve">December 2010. Based on an overall assessment, the High Court found it irrelevant that the comments had been mentioned in a letter to the Press Complaints Committee and that it had in that way become known to the chairman of </w:t>
      </w:r>
      <w:r w:rsidRPr="000630B5">
        <w:rPr>
          <w:rFonts w:cstheme="minorHAnsi"/>
          <w:i/>
          <w:szCs w:val="24"/>
        </w:rPr>
        <w:t>Hegnar Online</w:t>
      </w:r>
      <w:r w:rsidRPr="000630B5">
        <w:rPr>
          <w:rFonts w:cstheme="minorHAnsi"/>
          <w:szCs w:val="24"/>
        </w:rPr>
        <w:t xml:space="preserve"> that the applicant had reacted to comments that she found to constitute sexual harassment. Upon an overall examination and assessment of the measures that had been put in place in order to monitor the forum comments – hereunder taking account of the control being only subsequent and that the commentators did not have to register – and the specific responses to the applicant</w:t>
      </w:r>
      <w:r w:rsidRPr="000630B5" w:rsidR="000630B5">
        <w:rPr>
          <w:rFonts w:cstheme="minorHAnsi"/>
          <w:szCs w:val="24"/>
        </w:rPr>
        <w:t>’</w:t>
      </w:r>
      <w:r w:rsidRPr="000630B5">
        <w:rPr>
          <w:rFonts w:cstheme="minorHAnsi"/>
          <w:szCs w:val="24"/>
        </w:rPr>
        <w:t>s notifications, the High Court found that the news portal company and its editor had acted appropriately (see paragraph</w:t>
      </w:r>
      <w:r w:rsidRPr="000630B5" w:rsidR="00511F63">
        <w:rPr>
          <w:rFonts w:cstheme="minorHAnsi"/>
          <w:szCs w:val="24"/>
        </w:rPr>
        <w:t>s </w:t>
      </w:r>
      <w:r w:rsidRPr="000630B5" w:rsidR="00126718">
        <w:rPr>
          <w:rFonts w:cstheme="minorHAnsi"/>
          <w:szCs w:val="24"/>
        </w:rPr>
        <w:t xml:space="preserve">36-39 </w:t>
      </w:r>
      <w:r w:rsidRPr="000630B5">
        <w:rPr>
          <w:rFonts w:cstheme="minorHAnsi"/>
          <w:szCs w:val="24"/>
        </w:rPr>
        <w:t>above).</w:t>
      </w:r>
    </w:p>
    <w:p w:rsidRPr="000630B5" w:rsidR="00E7612E" w:rsidP="000630B5" w:rsidRDefault="00E7612E">
      <w:pPr>
        <w:pStyle w:val="ECHRPara"/>
        <w:rPr>
          <w:rFonts w:cstheme="minorHAnsi"/>
          <w:szCs w:val="24"/>
        </w:rPr>
      </w:pPr>
      <w:r w:rsidRPr="000630B5">
        <w:rPr>
          <w:rFonts w:cstheme="minorHAnsi"/>
          <w:szCs w:val="24"/>
        </w:rPr>
        <w:fldChar w:fldCharType="begin"/>
      </w:r>
      <w:r w:rsidRPr="000630B5">
        <w:rPr>
          <w:rFonts w:cstheme="minorHAnsi"/>
          <w:szCs w:val="24"/>
        </w:rPr>
        <w:instrText xml:space="preserve"> SEQ level0 \*arabic </w:instrText>
      </w:r>
      <w:r w:rsidRPr="000630B5">
        <w:rPr>
          <w:rFonts w:cstheme="minorHAnsi"/>
          <w:szCs w:val="24"/>
        </w:rPr>
        <w:fldChar w:fldCharType="separate"/>
      </w:r>
      <w:r w:rsidRPr="000630B5" w:rsidR="000630B5">
        <w:rPr>
          <w:rFonts w:cstheme="minorHAnsi"/>
          <w:noProof/>
          <w:szCs w:val="24"/>
        </w:rPr>
        <w:t>74</w:t>
      </w:r>
      <w:r w:rsidRPr="000630B5">
        <w:rPr>
          <w:rFonts w:cstheme="minorHAnsi"/>
          <w:szCs w:val="24"/>
        </w:rPr>
        <w:fldChar w:fldCharType="end"/>
      </w:r>
      <w:r w:rsidRPr="000630B5">
        <w:rPr>
          <w:rFonts w:cstheme="minorHAnsi"/>
          <w:szCs w:val="24"/>
        </w:rPr>
        <w:t xml:space="preserve">.  The Court observes </w:t>
      </w:r>
      <w:r w:rsidRPr="000630B5">
        <w:t>that the applicant</w:t>
      </w:r>
      <w:r w:rsidRPr="000630B5" w:rsidR="000630B5">
        <w:t>’</w:t>
      </w:r>
      <w:r w:rsidRPr="000630B5">
        <w:t xml:space="preserve">s case was considered on its merits by two judicial instances at the domestic level before the Supreme Court refused leave to appeal (compare </w:t>
      </w:r>
      <w:r w:rsidRPr="000630B5">
        <w:rPr>
          <w:i/>
        </w:rPr>
        <w:t>Pihl</w:t>
      </w:r>
      <w:r w:rsidRPr="000630B5">
        <w:t>, cited above, § 36). T</w:t>
      </w:r>
      <w:r w:rsidRPr="000630B5">
        <w:rPr>
          <w:rFonts w:cstheme="minorHAnsi"/>
          <w:szCs w:val="24"/>
        </w:rPr>
        <w:t>he domestic courts reviewed the relevant aspects of the case (see paragraph</w:t>
      </w:r>
      <w:r w:rsidRPr="000630B5" w:rsidR="00EA3C01">
        <w:rPr>
          <w:rFonts w:cstheme="minorHAnsi"/>
          <w:szCs w:val="24"/>
        </w:rPr>
        <w:t> </w:t>
      </w:r>
      <w:r w:rsidRPr="000630B5" w:rsidR="00126718">
        <w:rPr>
          <w:rFonts w:cstheme="minorHAnsi"/>
          <w:szCs w:val="24"/>
        </w:rPr>
        <w:t>67</w:t>
      </w:r>
      <w:r w:rsidRPr="000630B5">
        <w:rPr>
          <w:rFonts w:cstheme="minorHAnsi"/>
          <w:szCs w:val="24"/>
        </w:rPr>
        <w:t xml:space="preserve"> above).</w:t>
      </w:r>
      <w:r w:rsidRPr="000630B5" w:rsidR="00CF0399">
        <w:rPr>
          <w:rFonts w:cstheme="minorHAnsi"/>
          <w:szCs w:val="24"/>
        </w:rPr>
        <w:t xml:space="preserve"> I</w:t>
      </w:r>
      <w:r w:rsidRPr="000630B5">
        <w:rPr>
          <w:rFonts w:cstheme="minorHAnsi"/>
          <w:szCs w:val="24"/>
        </w:rPr>
        <w:t xml:space="preserve">n line with the principles set out in </w:t>
      </w:r>
      <w:r w:rsidRPr="000630B5">
        <w:rPr>
          <w:rFonts w:cstheme="minorHAnsi"/>
          <w:i/>
          <w:szCs w:val="24"/>
        </w:rPr>
        <w:t>Delfi AS</w:t>
      </w:r>
      <w:r w:rsidRPr="000630B5" w:rsidR="00EA3C01">
        <w:rPr>
          <w:rFonts w:cstheme="minorHAnsi"/>
          <w:szCs w:val="24"/>
        </w:rPr>
        <w:t>, cited above, § </w:t>
      </w:r>
      <w:r w:rsidRPr="000630B5">
        <w:rPr>
          <w:rFonts w:cstheme="minorHAnsi"/>
          <w:szCs w:val="24"/>
        </w:rPr>
        <w:t xml:space="preserve">139 (see paragraph </w:t>
      </w:r>
      <w:r w:rsidRPr="000630B5" w:rsidR="00126718">
        <w:rPr>
          <w:rFonts w:cstheme="minorHAnsi"/>
          <w:szCs w:val="24"/>
        </w:rPr>
        <w:t>66</w:t>
      </w:r>
      <w:r w:rsidRPr="000630B5">
        <w:rPr>
          <w:rFonts w:cstheme="minorHAnsi"/>
          <w:szCs w:val="24"/>
        </w:rPr>
        <w:t xml:space="preserve"> above), t</w:t>
      </w:r>
      <w:r w:rsidRPr="000630B5">
        <w:t>here are no reasons for the Court to substitute a different view for that of the domestic courts.</w:t>
      </w:r>
    </w:p>
    <w:p w:rsidRPr="000630B5" w:rsidR="00E7612E" w:rsidP="000630B5" w:rsidRDefault="00E7612E">
      <w:pPr>
        <w:pStyle w:val="ECHRPara"/>
        <w:rPr>
          <w:rFonts w:cstheme="minorHAnsi"/>
          <w:szCs w:val="24"/>
        </w:rPr>
      </w:pPr>
      <w:r w:rsidRPr="000630B5">
        <w:rPr>
          <w:rFonts w:cstheme="minorHAnsi"/>
          <w:szCs w:val="24"/>
        </w:rPr>
        <w:fldChar w:fldCharType="begin"/>
      </w:r>
      <w:r w:rsidRPr="000630B5">
        <w:rPr>
          <w:rFonts w:cstheme="minorHAnsi"/>
          <w:szCs w:val="24"/>
        </w:rPr>
        <w:instrText xml:space="preserve"> SEQ level0 \*arabic </w:instrText>
      </w:r>
      <w:r w:rsidRPr="000630B5">
        <w:rPr>
          <w:rFonts w:cstheme="minorHAnsi"/>
          <w:szCs w:val="24"/>
        </w:rPr>
        <w:fldChar w:fldCharType="separate"/>
      </w:r>
      <w:r w:rsidRPr="000630B5" w:rsidR="000630B5">
        <w:rPr>
          <w:rFonts w:cstheme="minorHAnsi"/>
          <w:noProof/>
          <w:szCs w:val="24"/>
        </w:rPr>
        <w:t>75</w:t>
      </w:r>
      <w:r w:rsidRPr="000630B5">
        <w:rPr>
          <w:rFonts w:cstheme="minorHAnsi"/>
          <w:szCs w:val="24"/>
        </w:rPr>
        <w:fldChar w:fldCharType="end"/>
      </w:r>
      <w:r w:rsidRPr="000630B5">
        <w:rPr>
          <w:rFonts w:cstheme="minorHAnsi"/>
          <w:szCs w:val="24"/>
        </w:rPr>
        <w:t>.  In view of the above, the Court finds that the domestic courts acted within their margin of appreciation when seeking to establish a balance between the applicant</w:t>
      </w:r>
      <w:r w:rsidRPr="000630B5" w:rsidR="000630B5">
        <w:rPr>
          <w:rFonts w:cstheme="minorHAnsi"/>
          <w:szCs w:val="24"/>
        </w:rPr>
        <w:t>’</w:t>
      </w:r>
      <w:r w:rsidRPr="000630B5">
        <w:rPr>
          <w:rFonts w:cstheme="minorHAnsi"/>
          <w:szCs w:val="24"/>
        </w:rPr>
        <w:t>s rights under Article 8 and the news portal and host of the debate forums</w:t>
      </w:r>
      <w:r w:rsidRPr="000630B5" w:rsidR="000630B5">
        <w:rPr>
          <w:rFonts w:cstheme="minorHAnsi"/>
          <w:szCs w:val="24"/>
        </w:rPr>
        <w:t>’</w:t>
      </w:r>
      <w:r w:rsidRPr="000630B5">
        <w:rPr>
          <w:rFonts w:cstheme="minorHAnsi"/>
          <w:szCs w:val="24"/>
        </w:rPr>
        <w:t xml:space="preserve"> opposing right to free</w:t>
      </w:r>
      <w:r w:rsidRPr="000630B5" w:rsidR="00EA3C01">
        <w:rPr>
          <w:rFonts w:cstheme="minorHAnsi"/>
          <w:szCs w:val="24"/>
        </w:rPr>
        <w:t>dom of expression under Article </w:t>
      </w:r>
      <w:r w:rsidRPr="000630B5">
        <w:rPr>
          <w:rFonts w:cstheme="minorHAnsi"/>
          <w:szCs w:val="24"/>
        </w:rPr>
        <w:t>10.</w:t>
      </w:r>
    </w:p>
    <w:p w:rsidRPr="000630B5" w:rsidR="002141EA" w:rsidP="000630B5" w:rsidRDefault="00E7612E">
      <w:pPr>
        <w:pStyle w:val="ECHRPara"/>
        <w:rPr>
          <w:rFonts w:cstheme="minorHAnsi"/>
          <w:szCs w:val="24"/>
        </w:rPr>
      </w:pPr>
      <w:r w:rsidRPr="000630B5">
        <w:rPr>
          <w:rFonts w:cstheme="minorHAnsi"/>
          <w:szCs w:val="24"/>
        </w:rPr>
        <w:fldChar w:fldCharType="begin"/>
      </w:r>
      <w:r w:rsidRPr="000630B5">
        <w:rPr>
          <w:rFonts w:cstheme="minorHAnsi"/>
          <w:szCs w:val="24"/>
        </w:rPr>
        <w:instrText xml:space="preserve"> SEQ level0 \*arabic </w:instrText>
      </w:r>
      <w:r w:rsidRPr="000630B5">
        <w:rPr>
          <w:rFonts w:cstheme="minorHAnsi"/>
          <w:szCs w:val="24"/>
        </w:rPr>
        <w:fldChar w:fldCharType="separate"/>
      </w:r>
      <w:r w:rsidRPr="000630B5" w:rsidR="000630B5">
        <w:rPr>
          <w:rFonts w:cstheme="minorHAnsi"/>
          <w:noProof/>
          <w:szCs w:val="24"/>
        </w:rPr>
        <w:t>76</w:t>
      </w:r>
      <w:r w:rsidRPr="000630B5">
        <w:rPr>
          <w:rFonts w:cstheme="minorHAnsi"/>
          <w:szCs w:val="24"/>
        </w:rPr>
        <w:fldChar w:fldCharType="end"/>
      </w:r>
      <w:r w:rsidRPr="000630B5">
        <w:rPr>
          <w:rFonts w:cstheme="minorHAnsi"/>
          <w:szCs w:val="24"/>
        </w:rPr>
        <w:t xml:space="preserve">.  With respect to the complaint about the compensation for litigation costs awarded, the Court </w:t>
      </w:r>
      <w:r w:rsidRPr="000630B5" w:rsidR="002141EA">
        <w:rPr>
          <w:rFonts w:cstheme="minorHAnsi"/>
          <w:szCs w:val="24"/>
        </w:rPr>
        <w:t>observes</w:t>
      </w:r>
      <w:r w:rsidRPr="000630B5">
        <w:rPr>
          <w:rFonts w:cstheme="minorHAnsi"/>
          <w:szCs w:val="24"/>
        </w:rPr>
        <w:t xml:space="preserve"> that the expenses did not involve any success fees or similar constructions. The case was tried in full before two court instances and both instances conscientiously reviewed, and considerably reduced, the extent of the comp</w:t>
      </w:r>
      <w:r w:rsidRPr="000630B5" w:rsidR="00EA3C01">
        <w:rPr>
          <w:rFonts w:cstheme="minorHAnsi"/>
          <w:szCs w:val="24"/>
        </w:rPr>
        <w:t>ensable costs (see paragraphs </w:t>
      </w:r>
      <w:r w:rsidRPr="000630B5" w:rsidR="00126718">
        <w:rPr>
          <w:rFonts w:cstheme="minorHAnsi"/>
          <w:szCs w:val="24"/>
        </w:rPr>
        <w:t>29</w:t>
      </w:r>
      <w:r w:rsidRPr="000630B5">
        <w:rPr>
          <w:rFonts w:cstheme="minorHAnsi"/>
          <w:szCs w:val="24"/>
        </w:rPr>
        <w:t xml:space="preserve"> and </w:t>
      </w:r>
      <w:r w:rsidRPr="000630B5" w:rsidR="00126718">
        <w:rPr>
          <w:rFonts w:cstheme="minorHAnsi"/>
          <w:szCs w:val="24"/>
        </w:rPr>
        <w:t>40</w:t>
      </w:r>
      <w:r w:rsidRPr="000630B5" w:rsidR="001769A1">
        <w:rPr>
          <w:rFonts w:cstheme="minorHAnsi"/>
          <w:szCs w:val="24"/>
        </w:rPr>
        <w:t xml:space="preserve"> above). In the </w:t>
      </w:r>
      <w:r w:rsidRPr="000630B5">
        <w:rPr>
          <w:rFonts w:cstheme="minorHAnsi"/>
          <w:szCs w:val="24"/>
        </w:rPr>
        <w:t>circumstances of the case, the domestic courts found that there were no reasons to deviate from the starting point that the winning party be awarded compensation for their fees and expens</w:t>
      </w:r>
      <w:r w:rsidRPr="000630B5" w:rsidR="002141EA">
        <w:rPr>
          <w:rFonts w:cstheme="minorHAnsi"/>
          <w:szCs w:val="24"/>
        </w:rPr>
        <w:t>es.</w:t>
      </w:r>
    </w:p>
    <w:p w:rsidRPr="000630B5" w:rsidR="000549EA" w:rsidP="000630B5" w:rsidRDefault="001A7B5F">
      <w:pPr>
        <w:pStyle w:val="ECHRPara"/>
        <w:rPr>
          <w:rFonts w:cstheme="minorHAnsi"/>
          <w:szCs w:val="24"/>
        </w:rPr>
      </w:pPr>
      <w:r w:rsidRPr="000630B5">
        <w:rPr>
          <w:rFonts w:cstheme="minorHAnsi"/>
          <w:szCs w:val="24"/>
        </w:rPr>
        <w:fldChar w:fldCharType="begin"/>
      </w:r>
      <w:r w:rsidRPr="000630B5">
        <w:rPr>
          <w:rFonts w:cstheme="minorHAnsi"/>
          <w:szCs w:val="24"/>
        </w:rPr>
        <w:instrText xml:space="preserve"> SEQ level0 \*arabic </w:instrText>
      </w:r>
      <w:r w:rsidRPr="000630B5">
        <w:rPr>
          <w:rFonts w:cstheme="minorHAnsi"/>
          <w:szCs w:val="24"/>
        </w:rPr>
        <w:fldChar w:fldCharType="separate"/>
      </w:r>
      <w:r w:rsidRPr="000630B5" w:rsidR="000630B5">
        <w:rPr>
          <w:rFonts w:cstheme="minorHAnsi"/>
          <w:noProof/>
          <w:szCs w:val="24"/>
        </w:rPr>
        <w:t>77</w:t>
      </w:r>
      <w:r w:rsidRPr="000630B5">
        <w:rPr>
          <w:rFonts w:cstheme="minorHAnsi"/>
          <w:szCs w:val="24"/>
        </w:rPr>
        <w:fldChar w:fldCharType="end"/>
      </w:r>
      <w:r w:rsidRPr="000630B5">
        <w:rPr>
          <w:rFonts w:cstheme="minorHAnsi"/>
          <w:szCs w:val="24"/>
        </w:rPr>
        <w:t>.  </w:t>
      </w:r>
      <w:r w:rsidRPr="000630B5" w:rsidR="002141EA">
        <w:rPr>
          <w:rFonts w:cstheme="minorHAnsi"/>
          <w:szCs w:val="24"/>
        </w:rPr>
        <w:t>While regard must be had to the general level of</w:t>
      </w:r>
      <w:r w:rsidRPr="000630B5" w:rsidR="002141EA">
        <w:t xml:space="preserve"> expenses in the jurisdiction (see, for example, </w:t>
      </w:r>
      <w:r w:rsidRPr="000630B5" w:rsidR="002141EA">
        <w:rPr>
          <w:i/>
        </w:rPr>
        <w:t>AS Dagbladet v. Norway</w:t>
      </w:r>
      <w:r w:rsidRPr="000630B5" w:rsidR="002141EA">
        <w:t xml:space="preserve"> (dec.), </w:t>
      </w:r>
      <w:r w:rsidRPr="000630B5" w:rsidR="00EA3C01">
        <w:rPr>
          <w:rFonts w:cstheme="minorHAnsi"/>
          <w:szCs w:val="24"/>
        </w:rPr>
        <w:t>no. </w:t>
      </w:r>
      <w:r w:rsidRPr="000630B5" w:rsidR="002141EA">
        <w:rPr>
          <w:rFonts w:cstheme="minorHAnsi"/>
          <w:szCs w:val="24"/>
        </w:rPr>
        <w:t xml:space="preserve">60715/14, § 33, </w:t>
      </w:r>
      <w:r w:rsidRPr="000630B5">
        <w:rPr>
          <w:rFonts w:cstheme="minorHAnsi"/>
          <w:szCs w:val="24"/>
        </w:rPr>
        <w:t xml:space="preserve">20 February 2018, and </w:t>
      </w:r>
      <w:r w:rsidRPr="000630B5">
        <w:rPr>
          <w:rFonts w:cstheme="minorHAnsi"/>
          <w:i/>
          <w:szCs w:val="24"/>
        </w:rPr>
        <w:t>Avisa Nordland AS v. Norway</w:t>
      </w:r>
      <w:r w:rsidRPr="000630B5">
        <w:rPr>
          <w:rFonts w:cstheme="minorHAnsi"/>
          <w:szCs w:val="24"/>
        </w:rPr>
        <w:t xml:space="preserve"> (dec.), no. 30563/15, § 48, 20 February 2018), t</w:t>
      </w:r>
      <w:r w:rsidRPr="000630B5" w:rsidR="002141EA">
        <w:rPr>
          <w:rFonts w:cstheme="minorHAnsi"/>
          <w:szCs w:val="24"/>
        </w:rPr>
        <w:t xml:space="preserve">he Court notes the considerable amount of costs imposed on the applicant. However, taking account of the nature of the claim lodged before the national courts and the subject matter, the Court does not consider that it </w:t>
      </w:r>
      <w:r w:rsidRPr="000630B5">
        <w:rPr>
          <w:rFonts w:cstheme="minorHAnsi"/>
          <w:szCs w:val="24"/>
        </w:rPr>
        <w:t xml:space="preserve">in the instant case </w:t>
      </w:r>
      <w:r w:rsidRPr="000630B5" w:rsidR="002141EA">
        <w:rPr>
          <w:rFonts w:cstheme="minorHAnsi"/>
          <w:szCs w:val="24"/>
        </w:rPr>
        <w:t>can call into question the domestic courts</w:t>
      </w:r>
      <w:r w:rsidRPr="000630B5" w:rsidR="000630B5">
        <w:rPr>
          <w:rFonts w:cstheme="minorHAnsi"/>
          <w:szCs w:val="24"/>
        </w:rPr>
        <w:t>’</w:t>
      </w:r>
      <w:r w:rsidRPr="000630B5" w:rsidR="002141EA">
        <w:rPr>
          <w:rFonts w:cstheme="minorHAnsi"/>
          <w:szCs w:val="24"/>
        </w:rPr>
        <w:t xml:space="preserve"> assessment as to the imposition of costs, also </w:t>
      </w:r>
      <w:r w:rsidRPr="000630B5">
        <w:rPr>
          <w:rFonts w:cstheme="minorHAnsi"/>
          <w:szCs w:val="24"/>
        </w:rPr>
        <w:t>in view of</w:t>
      </w:r>
      <w:r w:rsidRPr="000630B5" w:rsidR="002141EA">
        <w:rPr>
          <w:rFonts w:cstheme="minorHAnsi"/>
          <w:szCs w:val="24"/>
        </w:rPr>
        <w:t xml:space="preserve"> the High Court</w:t>
      </w:r>
      <w:r w:rsidRPr="000630B5" w:rsidR="000630B5">
        <w:rPr>
          <w:rFonts w:cstheme="minorHAnsi"/>
          <w:szCs w:val="24"/>
        </w:rPr>
        <w:t>’</w:t>
      </w:r>
      <w:r w:rsidRPr="000630B5" w:rsidR="002141EA">
        <w:rPr>
          <w:rFonts w:cstheme="minorHAnsi"/>
          <w:szCs w:val="24"/>
        </w:rPr>
        <w:t>s examination of the “parties</w:t>
      </w:r>
      <w:r w:rsidRPr="000630B5" w:rsidR="000630B5">
        <w:rPr>
          <w:rFonts w:cstheme="minorHAnsi"/>
          <w:szCs w:val="24"/>
        </w:rPr>
        <w:t>’</w:t>
      </w:r>
      <w:r w:rsidRPr="000630B5" w:rsidR="002141EA">
        <w:rPr>
          <w:rFonts w:cstheme="minorHAnsi"/>
          <w:szCs w:val="24"/>
        </w:rPr>
        <w:t xml:space="preserve"> welfare” and their “relative strength” (see paragraph 40 above).</w:t>
      </w:r>
      <w:r w:rsidRPr="000630B5">
        <w:rPr>
          <w:rFonts w:cstheme="minorHAnsi"/>
          <w:szCs w:val="24"/>
        </w:rPr>
        <w:t xml:space="preserve"> </w:t>
      </w:r>
      <w:r w:rsidRPr="000630B5" w:rsidR="00E7612E">
        <w:rPr>
          <w:rFonts w:cstheme="minorHAnsi"/>
          <w:szCs w:val="24"/>
        </w:rPr>
        <w:t xml:space="preserve">Against that background, the Court </w:t>
      </w:r>
      <w:r w:rsidRPr="000630B5" w:rsidR="000A7492">
        <w:rPr>
          <w:rFonts w:cstheme="minorHAnsi"/>
          <w:szCs w:val="24"/>
        </w:rPr>
        <w:t>does not need to address the Government</w:t>
      </w:r>
      <w:r w:rsidRPr="000630B5" w:rsidR="000630B5">
        <w:rPr>
          <w:rFonts w:cstheme="minorHAnsi"/>
          <w:szCs w:val="24"/>
        </w:rPr>
        <w:t>’</w:t>
      </w:r>
      <w:r w:rsidRPr="000630B5" w:rsidR="00EA3C01">
        <w:rPr>
          <w:rFonts w:cstheme="minorHAnsi"/>
          <w:szCs w:val="24"/>
        </w:rPr>
        <w:t>s argument that Article </w:t>
      </w:r>
      <w:r w:rsidRPr="000630B5" w:rsidR="000A7492">
        <w:rPr>
          <w:rFonts w:cstheme="minorHAnsi"/>
          <w:szCs w:val="24"/>
        </w:rPr>
        <w:t xml:space="preserve">6 § 1 is </w:t>
      </w:r>
      <w:r w:rsidRPr="000630B5" w:rsidR="000A7492">
        <w:rPr>
          <w:rFonts w:cstheme="minorHAnsi"/>
          <w:i/>
          <w:szCs w:val="24"/>
        </w:rPr>
        <w:t>lex specialis</w:t>
      </w:r>
      <w:r w:rsidRPr="000630B5" w:rsidR="000A7492">
        <w:rPr>
          <w:rFonts w:cstheme="minorHAnsi"/>
          <w:szCs w:val="24"/>
        </w:rPr>
        <w:t xml:space="preserve">, as it </w:t>
      </w:r>
      <w:r w:rsidRPr="000630B5" w:rsidR="00E7612E">
        <w:rPr>
          <w:rFonts w:cstheme="minorHAnsi"/>
          <w:szCs w:val="24"/>
        </w:rPr>
        <w:t xml:space="preserve">is </w:t>
      </w:r>
      <w:r w:rsidRPr="000630B5" w:rsidR="000A7492">
        <w:rPr>
          <w:rFonts w:cstheme="minorHAnsi"/>
          <w:szCs w:val="24"/>
        </w:rPr>
        <w:t xml:space="preserve">in any event </w:t>
      </w:r>
      <w:r w:rsidRPr="000630B5" w:rsidR="00E7612E">
        <w:rPr>
          <w:rFonts w:cstheme="minorHAnsi"/>
          <w:szCs w:val="24"/>
        </w:rPr>
        <w:t>satisfied that the domestic courts sufficiently safeguarded the applicant</w:t>
      </w:r>
      <w:r w:rsidRPr="000630B5" w:rsidR="000630B5">
        <w:rPr>
          <w:rFonts w:cstheme="minorHAnsi"/>
          <w:szCs w:val="24"/>
        </w:rPr>
        <w:t>’</w:t>
      </w:r>
      <w:r w:rsidRPr="000630B5" w:rsidR="00E7612E">
        <w:rPr>
          <w:rFonts w:cstheme="minorHAnsi"/>
          <w:szCs w:val="24"/>
        </w:rPr>
        <w:t>s rights under Article 8 and that there has been no violation of that provision.</w:t>
      </w:r>
    </w:p>
    <w:p w:rsidRPr="000630B5" w:rsidR="00014566" w:rsidP="000630B5" w:rsidRDefault="00BB5883">
      <w:pPr>
        <w:pStyle w:val="ECHRTitle1"/>
      </w:pPr>
      <w:r w:rsidRPr="000630B5">
        <w:t>FOR THESE REASONS, THE COURT</w:t>
      </w:r>
      <w:r w:rsidRPr="000630B5" w:rsidR="00C82108">
        <w:t>, UNANIMOUSLY,</w:t>
      </w:r>
    </w:p>
    <w:p w:rsidRPr="000630B5" w:rsidR="00B637B9" w:rsidP="000630B5" w:rsidRDefault="00B637B9">
      <w:pPr>
        <w:pStyle w:val="JuList"/>
      </w:pPr>
      <w:r w:rsidRPr="000630B5">
        <w:t>1.  </w:t>
      </w:r>
      <w:r w:rsidRPr="000630B5">
        <w:rPr>
          <w:i/>
        </w:rPr>
        <w:t>Declares</w:t>
      </w:r>
      <w:r w:rsidRPr="000630B5">
        <w:rPr>
          <w:color w:val="000000"/>
        </w:rPr>
        <w:t xml:space="preserve"> </w:t>
      </w:r>
      <w:r w:rsidRPr="000630B5">
        <w:t xml:space="preserve">the </w:t>
      </w:r>
      <w:r w:rsidRPr="000630B5" w:rsidR="00C82108">
        <w:t>application</w:t>
      </w:r>
      <w:r w:rsidRPr="000630B5">
        <w:t xml:space="preserve"> admissible;</w:t>
      </w:r>
    </w:p>
    <w:p w:rsidRPr="000630B5" w:rsidR="00AE6632" w:rsidP="000630B5" w:rsidRDefault="00AE6632">
      <w:pPr>
        <w:pStyle w:val="JuList"/>
      </w:pPr>
    </w:p>
    <w:p w:rsidRPr="000630B5" w:rsidR="00014566" w:rsidP="000630B5" w:rsidRDefault="00D54323">
      <w:pPr>
        <w:pStyle w:val="JuList"/>
      </w:pPr>
      <w:r w:rsidRPr="000630B5">
        <w:t>2</w:t>
      </w:r>
      <w:r w:rsidRPr="000630B5" w:rsidR="00014566">
        <w:t>.  </w:t>
      </w:r>
      <w:r w:rsidRPr="000630B5" w:rsidR="00014566">
        <w:rPr>
          <w:i/>
        </w:rPr>
        <w:t>Holds</w:t>
      </w:r>
      <w:r w:rsidRPr="000630B5" w:rsidR="00C82108">
        <w:t xml:space="preserve"> </w:t>
      </w:r>
      <w:r w:rsidRPr="000630B5" w:rsidR="00014566">
        <w:t xml:space="preserve">that there has been </w:t>
      </w:r>
      <w:r w:rsidRPr="000630B5">
        <w:t>no</w:t>
      </w:r>
      <w:r w:rsidRPr="000630B5" w:rsidR="00014566">
        <w:t xml:space="preserve"> violation of Article </w:t>
      </w:r>
      <w:r w:rsidRPr="000630B5">
        <w:t>8</w:t>
      </w:r>
      <w:r w:rsidRPr="000630B5" w:rsidR="001E6A05">
        <w:t xml:space="preserve"> of the Convention.</w:t>
      </w:r>
    </w:p>
    <w:p w:rsidRPr="000630B5" w:rsidR="00014566" w:rsidP="000630B5" w:rsidRDefault="00014566">
      <w:pPr>
        <w:pStyle w:val="JuParaLast"/>
      </w:pPr>
      <w:r w:rsidRPr="000630B5">
        <w:t xml:space="preserve">Done in English, and notified in writing on </w:t>
      </w:r>
      <w:r w:rsidRPr="000630B5" w:rsidR="00EA3C01">
        <w:t>19 March 2019</w:t>
      </w:r>
      <w:r w:rsidRPr="000630B5" w:rsidR="00C915FB">
        <w:t>, pursuant to Rule </w:t>
      </w:r>
      <w:r w:rsidRPr="000630B5">
        <w:t>77</w:t>
      </w:r>
      <w:r w:rsidRPr="000630B5" w:rsidR="00C915FB">
        <w:t> </w:t>
      </w:r>
      <w:r w:rsidRPr="000630B5">
        <w:t>§§</w:t>
      </w:r>
      <w:r w:rsidRPr="000630B5" w:rsidR="00C915FB">
        <w:t> </w:t>
      </w:r>
      <w:r w:rsidRPr="000630B5">
        <w:t>2 and 3 of the Rules of Court.</w:t>
      </w:r>
    </w:p>
    <w:p w:rsidRPr="000630B5" w:rsidR="00014566" w:rsidP="000630B5" w:rsidRDefault="00014566">
      <w:pPr>
        <w:pStyle w:val="JuSigned"/>
        <w:rPr>
          <w:lang w:val="de-DE"/>
        </w:rPr>
      </w:pPr>
      <w:r w:rsidRPr="000630B5">
        <w:tab/>
      </w:r>
      <w:r w:rsidRPr="000630B5" w:rsidR="000A7492">
        <w:rPr>
          <w:lang w:val="de-DE"/>
        </w:rPr>
        <w:t>Stanley Naismith</w:t>
      </w:r>
      <w:r w:rsidRPr="000630B5">
        <w:rPr>
          <w:lang w:val="de-DE"/>
        </w:rPr>
        <w:tab/>
      </w:r>
      <w:r w:rsidRPr="000630B5" w:rsidR="000A7492">
        <w:rPr>
          <w:szCs w:val="24"/>
          <w:lang w:val="de-DE"/>
        </w:rPr>
        <w:t>Robert Spano</w:t>
      </w:r>
      <w:r w:rsidRPr="000630B5" w:rsidR="00E1557C">
        <w:rPr>
          <w:szCs w:val="24"/>
          <w:lang w:val="de-DE"/>
        </w:rPr>
        <w:br/>
      </w:r>
      <w:r w:rsidRPr="000630B5">
        <w:rPr>
          <w:lang w:val="de-DE"/>
        </w:rPr>
        <w:tab/>
      </w:r>
      <w:r w:rsidRPr="000630B5" w:rsidR="00C82108">
        <w:rPr>
          <w:iCs/>
          <w:lang w:val="de-DE"/>
        </w:rPr>
        <w:t>Registrar</w:t>
      </w:r>
      <w:r w:rsidRPr="000630B5">
        <w:rPr>
          <w:lang w:val="de-DE"/>
        </w:rPr>
        <w:tab/>
        <w:t>President</w:t>
      </w:r>
    </w:p>
    <w:p w:rsidRPr="000630B5" w:rsidR="001C253F" w:rsidP="000630B5" w:rsidRDefault="001C253F">
      <w:pPr>
        <w:pStyle w:val="JuParaLast"/>
        <w:rPr>
          <w:lang w:val="de-DE"/>
        </w:rPr>
      </w:pPr>
    </w:p>
    <w:p w:rsidRPr="000630B5" w:rsidR="004D15F3" w:rsidP="000630B5" w:rsidRDefault="004D15F3">
      <w:pPr>
        <w:rPr>
          <w:lang w:val="de-DE"/>
        </w:rPr>
      </w:pPr>
    </w:p>
    <w:sectPr w:rsidRPr="000630B5" w:rsidR="004D15F3" w:rsidSect="00EA3C01">
      <w:headerReference w:type="even" r:id="rId14"/>
      <w:headerReference w:type="default" r:id="rId15"/>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A6B" w:rsidRPr="003152BA" w:rsidRDefault="008F7A6B" w:rsidP="00014566">
      <w:r w:rsidRPr="003152BA">
        <w:separator/>
      </w:r>
    </w:p>
  </w:endnote>
  <w:endnote w:type="continuationSeparator" w:id="0">
    <w:p w:rsidR="008F7A6B" w:rsidRPr="003152BA" w:rsidRDefault="008F7A6B" w:rsidP="00014566">
      <w:r w:rsidRPr="003152B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Open San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C01" w:rsidRDefault="00EA3C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C01" w:rsidRDefault="00EA3C0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C01" w:rsidRPr="00150BFA" w:rsidRDefault="00EA3C01" w:rsidP="0020718E">
    <w:pPr>
      <w:jc w:val="center"/>
    </w:pPr>
    <w:r>
      <w:rPr>
        <w:noProof/>
        <w:lang w:val="en-US" w:eastAsia="ja-JP"/>
      </w:rPr>
      <w:drawing>
        <wp:inline distT="0" distB="0" distL="0" distR="0" wp14:anchorId="1E070028" wp14:editId="0D9DBFB9">
          <wp:extent cx="771525" cy="619125"/>
          <wp:effectExtent l="0" t="0" r="9525" b="9525"/>
          <wp:docPr id="23" name="Picture 23"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EA3C01" w:rsidRDefault="00EA3C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A6B" w:rsidRPr="003152BA" w:rsidRDefault="008F7A6B" w:rsidP="00014566">
      <w:r w:rsidRPr="003152BA">
        <w:separator/>
      </w:r>
    </w:p>
  </w:footnote>
  <w:footnote w:type="continuationSeparator" w:id="0">
    <w:p w:rsidR="008F7A6B" w:rsidRPr="003152BA" w:rsidRDefault="008F7A6B" w:rsidP="00014566">
      <w:r w:rsidRPr="003152BA">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C01" w:rsidRDefault="00EA3C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A6B" w:rsidRPr="00EA3C01" w:rsidRDefault="008F7A6B" w:rsidP="00EA3C01">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C01" w:rsidRPr="00A45145" w:rsidRDefault="00EA3C01" w:rsidP="00A45145">
    <w:pPr>
      <w:jc w:val="center"/>
    </w:pPr>
    <w:r>
      <w:rPr>
        <w:noProof/>
        <w:lang w:val="en-US" w:eastAsia="ja-JP"/>
      </w:rPr>
      <w:drawing>
        <wp:inline distT="0" distB="0" distL="0" distR="0" wp14:anchorId="3BC4B6AB" wp14:editId="04A08B27">
          <wp:extent cx="2962275" cy="1219200"/>
          <wp:effectExtent l="0" t="0" r="9525" b="0"/>
          <wp:docPr id="12" name="Picture 12"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EA3C01" w:rsidRDefault="00EA3C0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C01" w:rsidRPr="003152BA" w:rsidRDefault="00EA3C01" w:rsidP="00EE1DA9">
    <w:pPr>
      <w:pStyle w:val="ECHRHeader"/>
    </w:pPr>
    <w:r>
      <w:rPr>
        <w:rStyle w:val="PageNumber"/>
        <w:szCs w:val="18"/>
      </w:rPr>
      <w:fldChar w:fldCharType="begin"/>
    </w:r>
    <w:r>
      <w:rPr>
        <w:rStyle w:val="PageNumber"/>
        <w:szCs w:val="18"/>
      </w:rPr>
      <w:instrText xml:space="preserve"> PAGE </w:instrText>
    </w:r>
    <w:r>
      <w:rPr>
        <w:rStyle w:val="PageNumber"/>
        <w:szCs w:val="18"/>
      </w:rPr>
      <w:fldChar w:fldCharType="separate"/>
    </w:r>
    <w:r w:rsidR="000630B5">
      <w:rPr>
        <w:rStyle w:val="PageNumber"/>
        <w:noProof/>
        <w:szCs w:val="18"/>
      </w:rPr>
      <w:t>18</w:t>
    </w:r>
    <w:r>
      <w:rPr>
        <w:rStyle w:val="PageNumber"/>
        <w:szCs w:val="18"/>
      </w:rPr>
      <w:fldChar w:fldCharType="end"/>
    </w:r>
    <w:r w:rsidRPr="003152BA">
      <w:tab/>
    </w:r>
    <w:r>
      <w:t>HØINESS v. NORWAY</w:t>
    </w:r>
    <w:r w:rsidRPr="003152BA">
      <w:t xml:space="preserve"> </w:t>
    </w:r>
    <w:r>
      <w:t>JUDGMENT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C01" w:rsidRPr="003152BA" w:rsidRDefault="00EA3C01" w:rsidP="00D60D87">
    <w:pPr>
      <w:pStyle w:val="ECHRHeader"/>
    </w:pPr>
    <w:r w:rsidRPr="003152BA">
      <w:tab/>
    </w:r>
    <w:r>
      <w:t>HØINESS v. NORWAY</w:t>
    </w:r>
    <w:r w:rsidRPr="003152BA">
      <w:t xml:space="preserve"> </w:t>
    </w:r>
    <w:r>
      <w:t>JUDGMENT</w:t>
    </w:r>
    <w:r w:rsidRPr="003152BA">
      <w:tab/>
    </w:r>
    <w:r>
      <w:rPr>
        <w:rStyle w:val="PageNumber"/>
        <w:szCs w:val="18"/>
      </w:rPr>
      <w:fldChar w:fldCharType="begin"/>
    </w:r>
    <w:r>
      <w:rPr>
        <w:rStyle w:val="PageNumber"/>
        <w:szCs w:val="18"/>
      </w:rPr>
      <w:instrText xml:space="preserve"> PAGE </w:instrText>
    </w:r>
    <w:r>
      <w:rPr>
        <w:rStyle w:val="PageNumber"/>
        <w:szCs w:val="18"/>
      </w:rPr>
      <w:fldChar w:fldCharType="separate"/>
    </w:r>
    <w:r w:rsidR="000630B5">
      <w:rPr>
        <w:rStyle w:val="PageNumber"/>
        <w:noProof/>
        <w:szCs w:val="18"/>
      </w:rPr>
      <w:t>19</w:t>
    </w:r>
    <w:r>
      <w:rPr>
        <w:rStyle w:val="PageNumber"/>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0180FE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0ECF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5B8BEF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F1CF7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2380266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2C3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482EC3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7666B2C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2760110"/>
    <w:lvl w:ilvl="0">
      <w:start w:val="1"/>
      <w:numFmt w:val="decimal"/>
      <w:pStyle w:val="ListNumber"/>
      <w:lvlText w:val="%1."/>
      <w:lvlJc w:val="left"/>
      <w:pPr>
        <w:tabs>
          <w:tab w:val="num" w:pos="360"/>
        </w:tabs>
        <w:ind w:left="360" w:hanging="360"/>
      </w:pPr>
    </w:lvl>
  </w:abstractNum>
  <w:abstractNum w:abstractNumId="9">
    <w:nsid w:val="0066004F"/>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3F153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FD1241"/>
    <w:multiLevelType w:val="hybridMultilevel"/>
    <w:tmpl w:val="F6D86CC2"/>
    <w:lvl w:ilvl="0" w:tplc="E4205412">
      <w:start w:val="1"/>
      <w:numFmt w:val="bullet"/>
      <w:pStyle w:val="ListBullet"/>
      <w:lvlText w:val=""/>
      <w:lvlJc w:val="left"/>
      <w:pPr>
        <w:tabs>
          <w:tab w:val="num" w:pos="851"/>
        </w:tabs>
        <w:ind w:left="568" w:firstLine="0"/>
      </w:pPr>
      <w:rPr>
        <w:rFonts w:ascii="Wingdings" w:hAnsi="Wingdings" w:hint="default"/>
        <w:color w:val="808080"/>
        <w:sz w:val="16"/>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7737461D"/>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10"/>
  </w:num>
  <w:num w:numId="3">
    <w:abstractNumId w:val="9"/>
  </w:num>
  <w:num w:numId="4">
    <w:abstractNumId w:val="13"/>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MM" w:val="0"/>
    <w:docVar w:name="NBEMMDOC" w:val="0"/>
  </w:docVars>
  <w:rsids>
    <w:rsidRoot w:val="00C82108"/>
    <w:rsid w:val="00000067"/>
    <w:rsid w:val="000000B2"/>
    <w:rsid w:val="000010ED"/>
    <w:rsid w:val="000041F8"/>
    <w:rsid w:val="000042A8"/>
    <w:rsid w:val="00004308"/>
    <w:rsid w:val="00005BF0"/>
    <w:rsid w:val="00007154"/>
    <w:rsid w:val="000103AE"/>
    <w:rsid w:val="00011836"/>
    <w:rsid w:val="00011D69"/>
    <w:rsid w:val="00012AD3"/>
    <w:rsid w:val="00014566"/>
    <w:rsid w:val="00015C2D"/>
    <w:rsid w:val="00015F00"/>
    <w:rsid w:val="00022C1D"/>
    <w:rsid w:val="000245DC"/>
    <w:rsid w:val="00033D81"/>
    <w:rsid w:val="00034987"/>
    <w:rsid w:val="000350E3"/>
    <w:rsid w:val="00045221"/>
    <w:rsid w:val="00045AEF"/>
    <w:rsid w:val="00052F7C"/>
    <w:rsid w:val="000549EA"/>
    <w:rsid w:val="00054FEE"/>
    <w:rsid w:val="00055647"/>
    <w:rsid w:val="00056BA3"/>
    <w:rsid w:val="000602DF"/>
    <w:rsid w:val="00061B05"/>
    <w:rsid w:val="00062973"/>
    <w:rsid w:val="00062D5D"/>
    <w:rsid w:val="000630B5"/>
    <w:rsid w:val="000632D5"/>
    <w:rsid w:val="000644EE"/>
    <w:rsid w:val="00066F84"/>
    <w:rsid w:val="00070920"/>
    <w:rsid w:val="00071ABC"/>
    <w:rsid w:val="0007588F"/>
    <w:rsid w:val="000856D7"/>
    <w:rsid w:val="000902AD"/>
    <w:rsid w:val="0009234F"/>
    <w:rsid w:val="000925AD"/>
    <w:rsid w:val="00092877"/>
    <w:rsid w:val="000929E8"/>
    <w:rsid w:val="00095F82"/>
    <w:rsid w:val="000A24EB"/>
    <w:rsid w:val="000A35C6"/>
    <w:rsid w:val="000A7492"/>
    <w:rsid w:val="000B6923"/>
    <w:rsid w:val="000C033C"/>
    <w:rsid w:val="000C4565"/>
    <w:rsid w:val="000C5F3C"/>
    <w:rsid w:val="000C6DCC"/>
    <w:rsid w:val="000D47AA"/>
    <w:rsid w:val="000D721F"/>
    <w:rsid w:val="000E069B"/>
    <w:rsid w:val="000E0E82"/>
    <w:rsid w:val="000E1DC5"/>
    <w:rsid w:val="000E223F"/>
    <w:rsid w:val="000E35AC"/>
    <w:rsid w:val="000E7D45"/>
    <w:rsid w:val="000F266F"/>
    <w:rsid w:val="000F338C"/>
    <w:rsid w:val="000F7851"/>
    <w:rsid w:val="00104E23"/>
    <w:rsid w:val="00111B0C"/>
    <w:rsid w:val="00113795"/>
    <w:rsid w:val="0011577C"/>
    <w:rsid w:val="0012002F"/>
    <w:rsid w:val="00120D6C"/>
    <w:rsid w:val="00121A54"/>
    <w:rsid w:val="00123B64"/>
    <w:rsid w:val="001257EC"/>
    <w:rsid w:val="00126718"/>
    <w:rsid w:val="00126A7F"/>
    <w:rsid w:val="00132C6A"/>
    <w:rsid w:val="00133D33"/>
    <w:rsid w:val="00134D64"/>
    <w:rsid w:val="001356F1"/>
    <w:rsid w:val="001359E8"/>
    <w:rsid w:val="00135A30"/>
    <w:rsid w:val="0013612C"/>
    <w:rsid w:val="001378FE"/>
    <w:rsid w:val="00137FF6"/>
    <w:rsid w:val="00141650"/>
    <w:rsid w:val="00142741"/>
    <w:rsid w:val="00142D48"/>
    <w:rsid w:val="001457D8"/>
    <w:rsid w:val="001517C4"/>
    <w:rsid w:val="00151EED"/>
    <w:rsid w:val="00156639"/>
    <w:rsid w:val="00162A12"/>
    <w:rsid w:val="00164013"/>
    <w:rsid w:val="00164A64"/>
    <w:rsid w:val="00166102"/>
    <w:rsid w:val="00166530"/>
    <w:rsid w:val="0017376B"/>
    <w:rsid w:val="0017562E"/>
    <w:rsid w:val="001769A1"/>
    <w:rsid w:val="001832BD"/>
    <w:rsid w:val="0018560A"/>
    <w:rsid w:val="00193251"/>
    <w:rsid w:val="00193FC2"/>
    <w:rsid w:val="001943B5"/>
    <w:rsid w:val="00195134"/>
    <w:rsid w:val="001968B0"/>
    <w:rsid w:val="00196C8D"/>
    <w:rsid w:val="001A145B"/>
    <w:rsid w:val="001A30FA"/>
    <w:rsid w:val="001A674C"/>
    <w:rsid w:val="001A7B5F"/>
    <w:rsid w:val="001B3B24"/>
    <w:rsid w:val="001B6F16"/>
    <w:rsid w:val="001C0F98"/>
    <w:rsid w:val="001C253F"/>
    <w:rsid w:val="001C2A42"/>
    <w:rsid w:val="001D0ABE"/>
    <w:rsid w:val="001D63ED"/>
    <w:rsid w:val="001D7348"/>
    <w:rsid w:val="001E035B"/>
    <w:rsid w:val="001E0961"/>
    <w:rsid w:val="001E20A0"/>
    <w:rsid w:val="001E2180"/>
    <w:rsid w:val="001E3EAE"/>
    <w:rsid w:val="001E5348"/>
    <w:rsid w:val="001E6A05"/>
    <w:rsid w:val="001E6F32"/>
    <w:rsid w:val="001F2145"/>
    <w:rsid w:val="001F6262"/>
    <w:rsid w:val="001F67B0"/>
    <w:rsid w:val="001F7B3D"/>
    <w:rsid w:val="00200C81"/>
    <w:rsid w:val="00202560"/>
    <w:rsid w:val="00205F9F"/>
    <w:rsid w:val="00210338"/>
    <w:rsid w:val="002115FC"/>
    <w:rsid w:val="002130BA"/>
    <w:rsid w:val="002133F8"/>
    <w:rsid w:val="002141EA"/>
    <w:rsid w:val="0021423C"/>
    <w:rsid w:val="00226985"/>
    <w:rsid w:val="00226A71"/>
    <w:rsid w:val="00227CA3"/>
    <w:rsid w:val="00230D00"/>
    <w:rsid w:val="00231DF7"/>
    <w:rsid w:val="00231FD1"/>
    <w:rsid w:val="002339E0"/>
    <w:rsid w:val="00233CF8"/>
    <w:rsid w:val="0023575D"/>
    <w:rsid w:val="00237148"/>
    <w:rsid w:val="00240B0B"/>
    <w:rsid w:val="0024222D"/>
    <w:rsid w:val="00244A8C"/>
    <w:rsid w:val="00244B0E"/>
    <w:rsid w:val="00244F6C"/>
    <w:rsid w:val="0024500C"/>
    <w:rsid w:val="00247622"/>
    <w:rsid w:val="002532C5"/>
    <w:rsid w:val="00260C03"/>
    <w:rsid w:val="0026540E"/>
    <w:rsid w:val="0027225C"/>
    <w:rsid w:val="00275123"/>
    <w:rsid w:val="00277272"/>
    <w:rsid w:val="00282240"/>
    <w:rsid w:val="0028572A"/>
    <w:rsid w:val="002914C4"/>
    <w:rsid w:val="002948AD"/>
    <w:rsid w:val="00294C05"/>
    <w:rsid w:val="00294C92"/>
    <w:rsid w:val="002A01CC"/>
    <w:rsid w:val="002A21D7"/>
    <w:rsid w:val="002A61B1"/>
    <w:rsid w:val="002A663C"/>
    <w:rsid w:val="002B1E6C"/>
    <w:rsid w:val="002B444B"/>
    <w:rsid w:val="002B5887"/>
    <w:rsid w:val="002C0692"/>
    <w:rsid w:val="002C0E27"/>
    <w:rsid w:val="002C1A63"/>
    <w:rsid w:val="002C3040"/>
    <w:rsid w:val="002C4268"/>
    <w:rsid w:val="002D022D"/>
    <w:rsid w:val="002D0307"/>
    <w:rsid w:val="002D0884"/>
    <w:rsid w:val="002D24BB"/>
    <w:rsid w:val="002D6EF1"/>
    <w:rsid w:val="002E2053"/>
    <w:rsid w:val="002E24D3"/>
    <w:rsid w:val="002E3C75"/>
    <w:rsid w:val="002E725F"/>
    <w:rsid w:val="002F171B"/>
    <w:rsid w:val="002F2AF7"/>
    <w:rsid w:val="002F7E1C"/>
    <w:rsid w:val="00301A75"/>
    <w:rsid w:val="00302F70"/>
    <w:rsid w:val="0030336F"/>
    <w:rsid w:val="0030375E"/>
    <w:rsid w:val="0031102C"/>
    <w:rsid w:val="00312A30"/>
    <w:rsid w:val="003152BA"/>
    <w:rsid w:val="00320F72"/>
    <w:rsid w:val="0032463E"/>
    <w:rsid w:val="00326224"/>
    <w:rsid w:val="0032676F"/>
    <w:rsid w:val="00331EAC"/>
    <w:rsid w:val="003352F1"/>
    <w:rsid w:val="00337EE4"/>
    <w:rsid w:val="00340FFD"/>
    <w:rsid w:val="00343A70"/>
    <w:rsid w:val="00345912"/>
    <w:rsid w:val="003506B1"/>
    <w:rsid w:val="00356AC7"/>
    <w:rsid w:val="003609FA"/>
    <w:rsid w:val="003646BD"/>
    <w:rsid w:val="00365108"/>
    <w:rsid w:val="00366194"/>
    <w:rsid w:val="003710C8"/>
    <w:rsid w:val="00374657"/>
    <w:rsid w:val="003750BE"/>
    <w:rsid w:val="0037546B"/>
    <w:rsid w:val="0037675A"/>
    <w:rsid w:val="00385C86"/>
    <w:rsid w:val="003862B1"/>
    <w:rsid w:val="00387B9D"/>
    <w:rsid w:val="0039364F"/>
    <w:rsid w:val="00396686"/>
    <w:rsid w:val="00396826"/>
    <w:rsid w:val="0039778E"/>
    <w:rsid w:val="003A441D"/>
    <w:rsid w:val="003B4941"/>
    <w:rsid w:val="003B5018"/>
    <w:rsid w:val="003B5C45"/>
    <w:rsid w:val="003C5714"/>
    <w:rsid w:val="003C6B9F"/>
    <w:rsid w:val="003C6E2A"/>
    <w:rsid w:val="003D0299"/>
    <w:rsid w:val="003D0AE9"/>
    <w:rsid w:val="003D7638"/>
    <w:rsid w:val="003E0F24"/>
    <w:rsid w:val="003E694E"/>
    <w:rsid w:val="003E6D80"/>
    <w:rsid w:val="003E6F0F"/>
    <w:rsid w:val="003F05FA"/>
    <w:rsid w:val="003F244A"/>
    <w:rsid w:val="003F30B8"/>
    <w:rsid w:val="003F4C45"/>
    <w:rsid w:val="003F5949"/>
    <w:rsid w:val="003F5F7B"/>
    <w:rsid w:val="003F7D64"/>
    <w:rsid w:val="00402339"/>
    <w:rsid w:val="00406D59"/>
    <w:rsid w:val="004118C3"/>
    <w:rsid w:val="00414300"/>
    <w:rsid w:val="00415725"/>
    <w:rsid w:val="0042127A"/>
    <w:rsid w:val="00424B9C"/>
    <w:rsid w:val="00424E43"/>
    <w:rsid w:val="00425C67"/>
    <w:rsid w:val="00427D90"/>
    <w:rsid w:val="00427E7A"/>
    <w:rsid w:val="00431870"/>
    <w:rsid w:val="00435D5A"/>
    <w:rsid w:val="00436307"/>
    <w:rsid w:val="00436C49"/>
    <w:rsid w:val="004405C4"/>
    <w:rsid w:val="00445366"/>
    <w:rsid w:val="00447F5B"/>
    <w:rsid w:val="004502B8"/>
    <w:rsid w:val="004522A0"/>
    <w:rsid w:val="00461DB0"/>
    <w:rsid w:val="00463926"/>
    <w:rsid w:val="00464097"/>
    <w:rsid w:val="004646E0"/>
    <w:rsid w:val="00464C9A"/>
    <w:rsid w:val="00472688"/>
    <w:rsid w:val="00474F3D"/>
    <w:rsid w:val="00477923"/>
    <w:rsid w:val="00477E3A"/>
    <w:rsid w:val="0048071F"/>
    <w:rsid w:val="00483E5F"/>
    <w:rsid w:val="00485FF9"/>
    <w:rsid w:val="004907F0"/>
    <w:rsid w:val="00490FF0"/>
    <w:rsid w:val="0049140B"/>
    <w:rsid w:val="004923A5"/>
    <w:rsid w:val="00492721"/>
    <w:rsid w:val="00496BFB"/>
    <w:rsid w:val="004A15C7"/>
    <w:rsid w:val="004A455C"/>
    <w:rsid w:val="004B013B"/>
    <w:rsid w:val="004B112B"/>
    <w:rsid w:val="004C01E4"/>
    <w:rsid w:val="004C086C"/>
    <w:rsid w:val="004C0AC2"/>
    <w:rsid w:val="004C10A1"/>
    <w:rsid w:val="004C1F56"/>
    <w:rsid w:val="004C27BC"/>
    <w:rsid w:val="004C33AB"/>
    <w:rsid w:val="004D0094"/>
    <w:rsid w:val="004D0CFA"/>
    <w:rsid w:val="004D15F3"/>
    <w:rsid w:val="004D347F"/>
    <w:rsid w:val="004D5311"/>
    <w:rsid w:val="004D5DCC"/>
    <w:rsid w:val="004F10AF"/>
    <w:rsid w:val="004F11A4"/>
    <w:rsid w:val="004F2389"/>
    <w:rsid w:val="004F304D"/>
    <w:rsid w:val="004F5318"/>
    <w:rsid w:val="004F61BE"/>
    <w:rsid w:val="004F66B1"/>
    <w:rsid w:val="00502A0D"/>
    <w:rsid w:val="00503AA5"/>
    <w:rsid w:val="00503D76"/>
    <w:rsid w:val="0050444B"/>
    <w:rsid w:val="00511C07"/>
    <w:rsid w:val="00511F63"/>
    <w:rsid w:val="00512D5D"/>
    <w:rsid w:val="005166AF"/>
    <w:rsid w:val="005173A6"/>
    <w:rsid w:val="00520BAA"/>
    <w:rsid w:val="00521233"/>
    <w:rsid w:val="00525208"/>
    <w:rsid w:val="005257A5"/>
    <w:rsid w:val="005264C0"/>
    <w:rsid w:val="00526A8A"/>
    <w:rsid w:val="00530586"/>
    <w:rsid w:val="00531DF2"/>
    <w:rsid w:val="00533CF7"/>
    <w:rsid w:val="005349BA"/>
    <w:rsid w:val="00535BB8"/>
    <w:rsid w:val="0053739E"/>
    <w:rsid w:val="005418E7"/>
    <w:rsid w:val="00543C4C"/>
    <w:rsid w:val="00543EF1"/>
    <w:rsid w:val="005442EE"/>
    <w:rsid w:val="00547353"/>
    <w:rsid w:val="005474E7"/>
    <w:rsid w:val="005479B6"/>
    <w:rsid w:val="00550225"/>
    <w:rsid w:val="005512A3"/>
    <w:rsid w:val="00556C2C"/>
    <w:rsid w:val="005578CE"/>
    <w:rsid w:val="00562781"/>
    <w:rsid w:val="00563E83"/>
    <w:rsid w:val="00565936"/>
    <w:rsid w:val="0057019C"/>
    <w:rsid w:val="00570CA0"/>
    <w:rsid w:val="0057271C"/>
    <w:rsid w:val="00572845"/>
    <w:rsid w:val="0058763E"/>
    <w:rsid w:val="00591338"/>
    <w:rsid w:val="00592772"/>
    <w:rsid w:val="0059574A"/>
    <w:rsid w:val="005A1B9B"/>
    <w:rsid w:val="005A6751"/>
    <w:rsid w:val="005B092E"/>
    <w:rsid w:val="005B152C"/>
    <w:rsid w:val="005B1EE0"/>
    <w:rsid w:val="005B2B24"/>
    <w:rsid w:val="005B4425"/>
    <w:rsid w:val="005B4B94"/>
    <w:rsid w:val="005C0056"/>
    <w:rsid w:val="005C27EB"/>
    <w:rsid w:val="005C3010"/>
    <w:rsid w:val="005C3EE8"/>
    <w:rsid w:val="005D0423"/>
    <w:rsid w:val="005D34F9"/>
    <w:rsid w:val="005D4190"/>
    <w:rsid w:val="005D42F1"/>
    <w:rsid w:val="005D43E5"/>
    <w:rsid w:val="005D4F20"/>
    <w:rsid w:val="005D67A3"/>
    <w:rsid w:val="005E137B"/>
    <w:rsid w:val="005E2988"/>
    <w:rsid w:val="005E2A43"/>
    <w:rsid w:val="005E3085"/>
    <w:rsid w:val="005E3294"/>
    <w:rsid w:val="005E438A"/>
    <w:rsid w:val="005F2AED"/>
    <w:rsid w:val="005F51E1"/>
    <w:rsid w:val="005F7E49"/>
    <w:rsid w:val="006040BE"/>
    <w:rsid w:val="006048E3"/>
    <w:rsid w:val="00604D55"/>
    <w:rsid w:val="006105D5"/>
    <w:rsid w:val="00610FA7"/>
    <w:rsid w:val="00611C80"/>
    <w:rsid w:val="00620692"/>
    <w:rsid w:val="006242CA"/>
    <w:rsid w:val="006257CC"/>
    <w:rsid w:val="00627507"/>
    <w:rsid w:val="00633717"/>
    <w:rsid w:val="00633E63"/>
    <w:rsid w:val="006344E1"/>
    <w:rsid w:val="00641927"/>
    <w:rsid w:val="006426B6"/>
    <w:rsid w:val="00647BF0"/>
    <w:rsid w:val="006530C1"/>
    <w:rsid w:val="006545C4"/>
    <w:rsid w:val="00661971"/>
    <w:rsid w:val="00661CE8"/>
    <w:rsid w:val="006623D9"/>
    <w:rsid w:val="0066550C"/>
    <w:rsid w:val="006716F2"/>
    <w:rsid w:val="00671D16"/>
    <w:rsid w:val="00672B2E"/>
    <w:rsid w:val="0067344F"/>
    <w:rsid w:val="00682938"/>
    <w:rsid w:val="00682BF2"/>
    <w:rsid w:val="0068371E"/>
    <w:rsid w:val="006841D0"/>
    <w:rsid w:val="00685817"/>
    <w:rsid w:val="006859CE"/>
    <w:rsid w:val="00691270"/>
    <w:rsid w:val="00691A31"/>
    <w:rsid w:val="00694BA8"/>
    <w:rsid w:val="006A0194"/>
    <w:rsid w:val="006A037C"/>
    <w:rsid w:val="006A36F4"/>
    <w:rsid w:val="006A406F"/>
    <w:rsid w:val="006A5D3A"/>
    <w:rsid w:val="006A7B6C"/>
    <w:rsid w:val="006C154D"/>
    <w:rsid w:val="006C23D4"/>
    <w:rsid w:val="006C356B"/>
    <w:rsid w:val="006C732E"/>
    <w:rsid w:val="006C7BB0"/>
    <w:rsid w:val="006C7C1E"/>
    <w:rsid w:val="006D3237"/>
    <w:rsid w:val="006D6A11"/>
    <w:rsid w:val="006E2E37"/>
    <w:rsid w:val="006E3CF1"/>
    <w:rsid w:val="006E7E80"/>
    <w:rsid w:val="006F1DF9"/>
    <w:rsid w:val="006F24DB"/>
    <w:rsid w:val="006F48CA"/>
    <w:rsid w:val="006F64DD"/>
    <w:rsid w:val="006F755F"/>
    <w:rsid w:val="007000A7"/>
    <w:rsid w:val="00700601"/>
    <w:rsid w:val="00700A0D"/>
    <w:rsid w:val="0070398A"/>
    <w:rsid w:val="007051C4"/>
    <w:rsid w:val="0071155D"/>
    <w:rsid w:val="00711904"/>
    <w:rsid w:val="00711D11"/>
    <w:rsid w:val="00715127"/>
    <w:rsid w:val="00715E8E"/>
    <w:rsid w:val="00716F19"/>
    <w:rsid w:val="0072179A"/>
    <w:rsid w:val="007220BB"/>
    <w:rsid w:val="007229E3"/>
    <w:rsid w:val="00723580"/>
    <w:rsid w:val="00723755"/>
    <w:rsid w:val="007241B9"/>
    <w:rsid w:val="0073136C"/>
    <w:rsid w:val="00731F0F"/>
    <w:rsid w:val="00733250"/>
    <w:rsid w:val="007411F5"/>
    <w:rsid w:val="00741404"/>
    <w:rsid w:val="00743C68"/>
    <w:rsid w:val="007449E5"/>
    <w:rsid w:val="007454B9"/>
    <w:rsid w:val="00746292"/>
    <w:rsid w:val="00746C5A"/>
    <w:rsid w:val="00747FF0"/>
    <w:rsid w:val="007509D5"/>
    <w:rsid w:val="00754C1F"/>
    <w:rsid w:val="00755B4D"/>
    <w:rsid w:val="00764D4E"/>
    <w:rsid w:val="00765A1F"/>
    <w:rsid w:val="00774A6E"/>
    <w:rsid w:val="00775B6D"/>
    <w:rsid w:val="00776D68"/>
    <w:rsid w:val="007850EE"/>
    <w:rsid w:val="00785B95"/>
    <w:rsid w:val="00790E96"/>
    <w:rsid w:val="00793366"/>
    <w:rsid w:val="007A066F"/>
    <w:rsid w:val="007A716F"/>
    <w:rsid w:val="007B270A"/>
    <w:rsid w:val="007B7985"/>
    <w:rsid w:val="007C0695"/>
    <w:rsid w:val="007C2532"/>
    <w:rsid w:val="007C2925"/>
    <w:rsid w:val="007C419A"/>
    <w:rsid w:val="007C4888"/>
    <w:rsid w:val="007C4CC8"/>
    <w:rsid w:val="007C5426"/>
    <w:rsid w:val="007C5798"/>
    <w:rsid w:val="007C788E"/>
    <w:rsid w:val="007D2ECD"/>
    <w:rsid w:val="007D4832"/>
    <w:rsid w:val="007E21B2"/>
    <w:rsid w:val="007E2C4E"/>
    <w:rsid w:val="007E5F8F"/>
    <w:rsid w:val="007F1905"/>
    <w:rsid w:val="007F394F"/>
    <w:rsid w:val="0080048F"/>
    <w:rsid w:val="00801300"/>
    <w:rsid w:val="00802C64"/>
    <w:rsid w:val="00805C3E"/>
    <w:rsid w:val="00805E52"/>
    <w:rsid w:val="008061D0"/>
    <w:rsid w:val="00810B38"/>
    <w:rsid w:val="008116E2"/>
    <w:rsid w:val="008204C7"/>
    <w:rsid w:val="00820992"/>
    <w:rsid w:val="00823602"/>
    <w:rsid w:val="008255F5"/>
    <w:rsid w:val="0083014E"/>
    <w:rsid w:val="0083150C"/>
    <w:rsid w:val="0083214A"/>
    <w:rsid w:val="00834220"/>
    <w:rsid w:val="00841F8D"/>
    <w:rsid w:val="008452EC"/>
    <w:rsid w:val="0084544E"/>
    <w:rsid w:val="00845723"/>
    <w:rsid w:val="00850CD1"/>
    <w:rsid w:val="008515DB"/>
    <w:rsid w:val="00851EF9"/>
    <w:rsid w:val="008577FD"/>
    <w:rsid w:val="00860B03"/>
    <w:rsid w:val="00863625"/>
    <w:rsid w:val="0086497A"/>
    <w:rsid w:val="008713A1"/>
    <w:rsid w:val="00871598"/>
    <w:rsid w:val="008754AB"/>
    <w:rsid w:val="0088060C"/>
    <w:rsid w:val="00880B07"/>
    <w:rsid w:val="008825AE"/>
    <w:rsid w:val="00893576"/>
    <w:rsid w:val="00893E73"/>
    <w:rsid w:val="008977E9"/>
    <w:rsid w:val="008A43C4"/>
    <w:rsid w:val="008A548B"/>
    <w:rsid w:val="008B02DC"/>
    <w:rsid w:val="008B57CE"/>
    <w:rsid w:val="008B5A26"/>
    <w:rsid w:val="008B659F"/>
    <w:rsid w:val="008C26DE"/>
    <w:rsid w:val="008D0AC9"/>
    <w:rsid w:val="008D1927"/>
    <w:rsid w:val="008D2225"/>
    <w:rsid w:val="008D4752"/>
    <w:rsid w:val="008D552A"/>
    <w:rsid w:val="008E271C"/>
    <w:rsid w:val="008E418E"/>
    <w:rsid w:val="008E5BC6"/>
    <w:rsid w:val="008E6A25"/>
    <w:rsid w:val="008F1E3E"/>
    <w:rsid w:val="008F5193"/>
    <w:rsid w:val="008F7A6B"/>
    <w:rsid w:val="009013A7"/>
    <w:rsid w:val="009017FB"/>
    <w:rsid w:val="009017FC"/>
    <w:rsid w:val="00903B43"/>
    <w:rsid w:val="0090506B"/>
    <w:rsid w:val="009050C9"/>
    <w:rsid w:val="00905D91"/>
    <w:rsid w:val="009066FC"/>
    <w:rsid w:val="00910ABA"/>
    <w:rsid w:val="00910F8D"/>
    <w:rsid w:val="00911DF6"/>
    <w:rsid w:val="009140A3"/>
    <w:rsid w:val="009144A2"/>
    <w:rsid w:val="0091510C"/>
    <w:rsid w:val="009259AC"/>
    <w:rsid w:val="00926F38"/>
    <w:rsid w:val="00927D23"/>
    <w:rsid w:val="00934301"/>
    <w:rsid w:val="00934D22"/>
    <w:rsid w:val="00936CD1"/>
    <w:rsid w:val="00937920"/>
    <w:rsid w:val="0094108E"/>
    <w:rsid w:val="00941747"/>
    <w:rsid w:val="00941EFB"/>
    <w:rsid w:val="00944F17"/>
    <w:rsid w:val="00947AFB"/>
    <w:rsid w:val="00951D7D"/>
    <w:rsid w:val="00952C12"/>
    <w:rsid w:val="009630C7"/>
    <w:rsid w:val="009652BC"/>
    <w:rsid w:val="0096538B"/>
    <w:rsid w:val="00971EC2"/>
    <w:rsid w:val="00972B55"/>
    <w:rsid w:val="009743B7"/>
    <w:rsid w:val="0098228B"/>
    <w:rsid w:val="009828DA"/>
    <w:rsid w:val="00984F29"/>
    <w:rsid w:val="00985BAB"/>
    <w:rsid w:val="009876AD"/>
    <w:rsid w:val="009903FB"/>
    <w:rsid w:val="009908B3"/>
    <w:rsid w:val="0099641D"/>
    <w:rsid w:val="00997F03"/>
    <w:rsid w:val="009A2C9F"/>
    <w:rsid w:val="009A46DF"/>
    <w:rsid w:val="009B1B5F"/>
    <w:rsid w:val="009B2EC2"/>
    <w:rsid w:val="009B3B14"/>
    <w:rsid w:val="009B6673"/>
    <w:rsid w:val="009B674F"/>
    <w:rsid w:val="009C191B"/>
    <w:rsid w:val="009C1D21"/>
    <w:rsid w:val="009C2BD6"/>
    <w:rsid w:val="009C35B7"/>
    <w:rsid w:val="009C54CE"/>
    <w:rsid w:val="009D0C0D"/>
    <w:rsid w:val="009D4BB7"/>
    <w:rsid w:val="009E1F32"/>
    <w:rsid w:val="009E52A6"/>
    <w:rsid w:val="009E5829"/>
    <w:rsid w:val="009E5E5A"/>
    <w:rsid w:val="009E7750"/>
    <w:rsid w:val="009E776C"/>
    <w:rsid w:val="009F2EAD"/>
    <w:rsid w:val="009F6BD9"/>
    <w:rsid w:val="00A02187"/>
    <w:rsid w:val="00A05C80"/>
    <w:rsid w:val="00A1184E"/>
    <w:rsid w:val="00A130B4"/>
    <w:rsid w:val="00A13691"/>
    <w:rsid w:val="00A1726E"/>
    <w:rsid w:val="00A204CF"/>
    <w:rsid w:val="00A2399C"/>
    <w:rsid w:val="00A23D49"/>
    <w:rsid w:val="00A27004"/>
    <w:rsid w:val="00A30C29"/>
    <w:rsid w:val="00A31E7B"/>
    <w:rsid w:val="00A34DD6"/>
    <w:rsid w:val="00A35182"/>
    <w:rsid w:val="00A3627C"/>
    <w:rsid w:val="00A36819"/>
    <w:rsid w:val="00A36989"/>
    <w:rsid w:val="00A40F66"/>
    <w:rsid w:val="00A42CFE"/>
    <w:rsid w:val="00A43628"/>
    <w:rsid w:val="00A4536F"/>
    <w:rsid w:val="00A516C2"/>
    <w:rsid w:val="00A53C61"/>
    <w:rsid w:val="00A54192"/>
    <w:rsid w:val="00A54EDD"/>
    <w:rsid w:val="00A55AF7"/>
    <w:rsid w:val="00A6035E"/>
    <w:rsid w:val="00A60FA7"/>
    <w:rsid w:val="00A6144C"/>
    <w:rsid w:val="00A6212D"/>
    <w:rsid w:val="00A66617"/>
    <w:rsid w:val="00A671F8"/>
    <w:rsid w:val="00A673A4"/>
    <w:rsid w:val="00A724AE"/>
    <w:rsid w:val="00A73329"/>
    <w:rsid w:val="00A82359"/>
    <w:rsid w:val="00A84AA8"/>
    <w:rsid w:val="00A865D2"/>
    <w:rsid w:val="00A9188D"/>
    <w:rsid w:val="00A92AC0"/>
    <w:rsid w:val="00A94C20"/>
    <w:rsid w:val="00A96ED6"/>
    <w:rsid w:val="00AA0CF0"/>
    <w:rsid w:val="00AA227F"/>
    <w:rsid w:val="00AA2C09"/>
    <w:rsid w:val="00AA3BC7"/>
    <w:rsid w:val="00AA447A"/>
    <w:rsid w:val="00AA541F"/>
    <w:rsid w:val="00AA754A"/>
    <w:rsid w:val="00AB099E"/>
    <w:rsid w:val="00AB4328"/>
    <w:rsid w:val="00AB57ED"/>
    <w:rsid w:val="00AB5FA0"/>
    <w:rsid w:val="00AD2E8F"/>
    <w:rsid w:val="00AD6C80"/>
    <w:rsid w:val="00AE01FB"/>
    <w:rsid w:val="00AE0A2E"/>
    <w:rsid w:val="00AE354C"/>
    <w:rsid w:val="00AE4087"/>
    <w:rsid w:val="00AE6632"/>
    <w:rsid w:val="00AF44E8"/>
    <w:rsid w:val="00AF46A6"/>
    <w:rsid w:val="00AF4B07"/>
    <w:rsid w:val="00AF6186"/>
    <w:rsid w:val="00AF65EA"/>
    <w:rsid w:val="00AF7A3A"/>
    <w:rsid w:val="00B11B00"/>
    <w:rsid w:val="00B15031"/>
    <w:rsid w:val="00B160DB"/>
    <w:rsid w:val="00B17757"/>
    <w:rsid w:val="00B20836"/>
    <w:rsid w:val="00B235BB"/>
    <w:rsid w:val="00B2372A"/>
    <w:rsid w:val="00B26F5D"/>
    <w:rsid w:val="00B27A44"/>
    <w:rsid w:val="00B30BBF"/>
    <w:rsid w:val="00B32A4C"/>
    <w:rsid w:val="00B33C03"/>
    <w:rsid w:val="00B436D6"/>
    <w:rsid w:val="00B44E56"/>
    <w:rsid w:val="00B46543"/>
    <w:rsid w:val="00B47D33"/>
    <w:rsid w:val="00B52BE0"/>
    <w:rsid w:val="00B54133"/>
    <w:rsid w:val="00B637B9"/>
    <w:rsid w:val="00B658FA"/>
    <w:rsid w:val="00B701ED"/>
    <w:rsid w:val="00B8086C"/>
    <w:rsid w:val="00B815D4"/>
    <w:rsid w:val="00B861B4"/>
    <w:rsid w:val="00B86DFE"/>
    <w:rsid w:val="00B87D9C"/>
    <w:rsid w:val="00B90990"/>
    <w:rsid w:val="00B91622"/>
    <w:rsid w:val="00B91CA4"/>
    <w:rsid w:val="00B922FF"/>
    <w:rsid w:val="00B92491"/>
    <w:rsid w:val="00B9281E"/>
    <w:rsid w:val="00B93925"/>
    <w:rsid w:val="00B95187"/>
    <w:rsid w:val="00B9648B"/>
    <w:rsid w:val="00BA2D55"/>
    <w:rsid w:val="00BA511A"/>
    <w:rsid w:val="00BA71B1"/>
    <w:rsid w:val="00BB0637"/>
    <w:rsid w:val="00BB345F"/>
    <w:rsid w:val="00BB5883"/>
    <w:rsid w:val="00BB68EA"/>
    <w:rsid w:val="00BC1C27"/>
    <w:rsid w:val="00BC2B55"/>
    <w:rsid w:val="00BC49FD"/>
    <w:rsid w:val="00BC6BBF"/>
    <w:rsid w:val="00BC7035"/>
    <w:rsid w:val="00BD1572"/>
    <w:rsid w:val="00BD4DC9"/>
    <w:rsid w:val="00BD67D7"/>
    <w:rsid w:val="00BE14E3"/>
    <w:rsid w:val="00BE3774"/>
    <w:rsid w:val="00BE41E5"/>
    <w:rsid w:val="00BF0BBB"/>
    <w:rsid w:val="00BF1E92"/>
    <w:rsid w:val="00BF2157"/>
    <w:rsid w:val="00BF4109"/>
    <w:rsid w:val="00BF4CC3"/>
    <w:rsid w:val="00C00153"/>
    <w:rsid w:val="00C04852"/>
    <w:rsid w:val="00C054C7"/>
    <w:rsid w:val="00C057B5"/>
    <w:rsid w:val="00C07A21"/>
    <w:rsid w:val="00C22687"/>
    <w:rsid w:val="00C261A1"/>
    <w:rsid w:val="00C31BAD"/>
    <w:rsid w:val="00C32E4D"/>
    <w:rsid w:val="00C333A0"/>
    <w:rsid w:val="00C36A81"/>
    <w:rsid w:val="00C37080"/>
    <w:rsid w:val="00C41974"/>
    <w:rsid w:val="00C42CD5"/>
    <w:rsid w:val="00C447AD"/>
    <w:rsid w:val="00C510DE"/>
    <w:rsid w:val="00C53F4A"/>
    <w:rsid w:val="00C54125"/>
    <w:rsid w:val="00C55B54"/>
    <w:rsid w:val="00C6098E"/>
    <w:rsid w:val="00C60BFA"/>
    <w:rsid w:val="00C6152C"/>
    <w:rsid w:val="00C621C2"/>
    <w:rsid w:val="00C63C7E"/>
    <w:rsid w:val="00C7370A"/>
    <w:rsid w:val="00C74810"/>
    <w:rsid w:val="00C82108"/>
    <w:rsid w:val="00C8460D"/>
    <w:rsid w:val="00C871FE"/>
    <w:rsid w:val="00C90D68"/>
    <w:rsid w:val="00C915FB"/>
    <w:rsid w:val="00C939FE"/>
    <w:rsid w:val="00CA0877"/>
    <w:rsid w:val="00CA4BDA"/>
    <w:rsid w:val="00CB1F66"/>
    <w:rsid w:val="00CB2951"/>
    <w:rsid w:val="00CC7B0D"/>
    <w:rsid w:val="00CD10E1"/>
    <w:rsid w:val="00CD282B"/>
    <w:rsid w:val="00CD4C35"/>
    <w:rsid w:val="00CD7093"/>
    <w:rsid w:val="00CD7369"/>
    <w:rsid w:val="00CE0B0E"/>
    <w:rsid w:val="00CE2F1E"/>
    <w:rsid w:val="00CE3831"/>
    <w:rsid w:val="00CE451F"/>
    <w:rsid w:val="00CF0399"/>
    <w:rsid w:val="00CF16C5"/>
    <w:rsid w:val="00CF641E"/>
    <w:rsid w:val="00D00ABB"/>
    <w:rsid w:val="00D0269E"/>
    <w:rsid w:val="00D02EEC"/>
    <w:rsid w:val="00D03551"/>
    <w:rsid w:val="00D0552C"/>
    <w:rsid w:val="00D06A63"/>
    <w:rsid w:val="00D07E0E"/>
    <w:rsid w:val="00D11478"/>
    <w:rsid w:val="00D15ED0"/>
    <w:rsid w:val="00D210BC"/>
    <w:rsid w:val="00D212B1"/>
    <w:rsid w:val="00D21B3E"/>
    <w:rsid w:val="00D21FED"/>
    <w:rsid w:val="00D22CBA"/>
    <w:rsid w:val="00D24251"/>
    <w:rsid w:val="00D343E2"/>
    <w:rsid w:val="00D361A2"/>
    <w:rsid w:val="00D4365F"/>
    <w:rsid w:val="00D44C2E"/>
    <w:rsid w:val="00D4535D"/>
    <w:rsid w:val="00D45414"/>
    <w:rsid w:val="00D46BE6"/>
    <w:rsid w:val="00D503F0"/>
    <w:rsid w:val="00D50D73"/>
    <w:rsid w:val="00D53C0F"/>
    <w:rsid w:val="00D54323"/>
    <w:rsid w:val="00D566BD"/>
    <w:rsid w:val="00D57A4D"/>
    <w:rsid w:val="00D60AA7"/>
    <w:rsid w:val="00D60D87"/>
    <w:rsid w:val="00D6247B"/>
    <w:rsid w:val="00D6435F"/>
    <w:rsid w:val="00D72ED1"/>
    <w:rsid w:val="00D75060"/>
    <w:rsid w:val="00D75E28"/>
    <w:rsid w:val="00D772C2"/>
    <w:rsid w:val="00D8008E"/>
    <w:rsid w:val="00D8076E"/>
    <w:rsid w:val="00D82C45"/>
    <w:rsid w:val="00D835EA"/>
    <w:rsid w:val="00D908A8"/>
    <w:rsid w:val="00D94C85"/>
    <w:rsid w:val="00D977B6"/>
    <w:rsid w:val="00DA4A31"/>
    <w:rsid w:val="00DA61F2"/>
    <w:rsid w:val="00DA7B04"/>
    <w:rsid w:val="00DB0C27"/>
    <w:rsid w:val="00DB2752"/>
    <w:rsid w:val="00DB36C2"/>
    <w:rsid w:val="00DB5EFA"/>
    <w:rsid w:val="00DB7196"/>
    <w:rsid w:val="00DC169B"/>
    <w:rsid w:val="00DC2AB9"/>
    <w:rsid w:val="00DC63F0"/>
    <w:rsid w:val="00DC6D3B"/>
    <w:rsid w:val="00DD6EE5"/>
    <w:rsid w:val="00DE1B8E"/>
    <w:rsid w:val="00DE386C"/>
    <w:rsid w:val="00DE4D35"/>
    <w:rsid w:val="00DF0549"/>
    <w:rsid w:val="00DF098B"/>
    <w:rsid w:val="00DF11C4"/>
    <w:rsid w:val="00DF210C"/>
    <w:rsid w:val="00DF3580"/>
    <w:rsid w:val="00DF4B6A"/>
    <w:rsid w:val="00DF63E5"/>
    <w:rsid w:val="00E02C09"/>
    <w:rsid w:val="00E04D59"/>
    <w:rsid w:val="00E07DA1"/>
    <w:rsid w:val="00E10EC1"/>
    <w:rsid w:val="00E123CB"/>
    <w:rsid w:val="00E1557C"/>
    <w:rsid w:val="00E17567"/>
    <w:rsid w:val="00E20E13"/>
    <w:rsid w:val="00E21DBC"/>
    <w:rsid w:val="00E23040"/>
    <w:rsid w:val="00E25E2F"/>
    <w:rsid w:val="00E275D7"/>
    <w:rsid w:val="00E27DBE"/>
    <w:rsid w:val="00E32AB1"/>
    <w:rsid w:val="00E36C71"/>
    <w:rsid w:val="00E40404"/>
    <w:rsid w:val="00E406BF"/>
    <w:rsid w:val="00E4133A"/>
    <w:rsid w:val="00E42967"/>
    <w:rsid w:val="00E459C6"/>
    <w:rsid w:val="00E47589"/>
    <w:rsid w:val="00E64915"/>
    <w:rsid w:val="00E64F10"/>
    <w:rsid w:val="00E6540A"/>
    <w:rsid w:val="00E661D4"/>
    <w:rsid w:val="00E70091"/>
    <w:rsid w:val="00E720F5"/>
    <w:rsid w:val="00E7612E"/>
    <w:rsid w:val="00E76D47"/>
    <w:rsid w:val="00E82936"/>
    <w:rsid w:val="00E849F7"/>
    <w:rsid w:val="00E84F46"/>
    <w:rsid w:val="00E85348"/>
    <w:rsid w:val="00E90302"/>
    <w:rsid w:val="00E91282"/>
    <w:rsid w:val="00E916D2"/>
    <w:rsid w:val="00E9597F"/>
    <w:rsid w:val="00E97396"/>
    <w:rsid w:val="00EA185E"/>
    <w:rsid w:val="00EA3C01"/>
    <w:rsid w:val="00EA460C"/>
    <w:rsid w:val="00EA592A"/>
    <w:rsid w:val="00EA737F"/>
    <w:rsid w:val="00EB14E4"/>
    <w:rsid w:val="00EB32A5"/>
    <w:rsid w:val="00EB34ED"/>
    <w:rsid w:val="00EB6887"/>
    <w:rsid w:val="00EB689F"/>
    <w:rsid w:val="00EB778B"/>
    <w:rsid w:val="00EB7BE0"/>
    <w:rsid w:val="00EC315E"/>
    <w:rsid w:val="00ED077C"/>
    <w:rsid w:val="00ED1190"/>
    <w:rsid w:val="00ED6544"/>
    <w:rsid w:val="00EE0277"/>
    <w:rsid w:val="00EE1DA9"/>
    <w:rsid w:val="00EE3E00"/>
    <w:rsid w:val="00EE5DD2"/>
    <w:rsid w:val="00EF0073"/>
    <w:rsid w:val="00EF1CF5"/>
    <w:rsid w:val="00EF41F1"/>
    <w:rsid w:val="00EF4F08"/>
    <w:rsid w:val="00EF573B"/>
    <w:rsid w:val="00EF777C"/>
    <w:rsid w:val="00F00A79"/>
    <w:rsid w:val="00F00E86"/>
    <w:rsid w:val="00F00F8B"/>
    <w:rsid w:val="00F03029"/>
    <w:rsid w:val="00F03365"/>
    <w:rsid w:val="00F0429B"/>
    <w:rsid w:val="00F07B8F"/>
    <w:rsid w:val="00F07C1E"/>
    <w:rsid w:val="00F105DB"/>
    <w:rsid w:val="00F132BC"/>
    <w:rsid w:val="00F13D80"/>
    <w:rsid w:val="00F15A2A"/>
    <w:rsid w:val="00F16AAA"/>
    <w:rsid w:val="00F16FB2"/>
    <w:rsid w:val="00F21161"/>
    <w:rsid w:val="00F218EF"/>
    <w:rsid w:val="00F21BC7"/>
    <w:rsid w:val="00F266A2"/>
    <w:rsid w:val="00F32269"/>
    <w:rsid w:val="00F343AD"/>
    <w:rsid w:val="00F40059"/>
    <w:rsid w:val="00F4373A"/>
    <w:rsid w:val="00F4457E"/>
    <w:rsid w:val="00F44E5B"/>
    <w:rsid w:val="00F4794E"/>
    <w:rsid w:val="00F521E1"/>
    <w:rsid w:val="00F53267"/>
    <w:rsid w:val="00F542F5"/>
    <w:rsid w:val="00F56A6F"/>
    <w:rsid w:val="00F5709C"/>
    <w:rsid w:val="00F60381"/>
    <w:rsid w:val="00F64EF1"/>
    <w:rsid w:val="00F66B0F"/>
    <w:rsid w:val="00F7417A"/>
    <w:rsid w:val="00F74574"/>
    <w:rsid w:val="00F74DD0"/>
    <w:rsid w:val="00F7703F"/>
    <w:rsid w:val="00F82250"/>
    <w:rsid w:val="00F8268E"/>
    <w:rsid w:val="00F8765F"/>
    <w:rsid w:val="00F90767"/>
    <w:rsid w:val="00FA6187"/>
    <w:rsid w:val="00FA685B"/>
    <w:rsid w:val="00FA6983"/>
    <w:rsid w:val="00FB0754"/>
    <w:rsid w:val="00FB0C01"/>
    <w:rsid w:val="00FB23E3"/>
    <w:rsid w:val="00FB3ED9"/>
    <w:rsid w:val="00FC18F2"/>
    <w:rsid w:val="00FC39E5"/>
    <w:rsid w:val="00FC3A78"/>
    <w:rsid w:val="00FC3F33"/>
    <w:rsid w:val="00FC5FFE"/>
    <w:rsid w:val="00FC7BCD"/>
    <w:rsid w:val="00FD1005"/>
    <w:rsid w:val="00FD3180"/>
    <w:rsid w:val="00FD342B"/>
    <w:rsid w:val="00FD6C75"/>
    <w:rsid w:val="00FD7E65"/>
    <w:rsid w:val="00FE71B3"/>
    <w:rsid w:val="00FF2AC9"/>
    <w:rsid w:val="00FF42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7C4888"/>
    <w:pPr>
      <w:jc w:val="both"/>
    </w:pPr>
    <w:rPr>
      <w:rFonts w:eastAsiaTheme="minorEastAsia"/>
      <w:sz w:val="24"/>
      <w:lang w:val="en-GB"/>
    </w:rPr>
  </w:style>
  <w:style w:type="paragraph" w:styleId="Heading1">
    <w:name w:val="heading 1"/>
    <w:basedOn w:val="Normal"/>
    <w:next w:val="Normal"/>
    <w:link w:val="Heading1Char"/>
    <w:uiPriority w:val="99"/>
    <w:semiHidden/>
    <w:rsid w:val="007C4888"/>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7C4888"/>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7C4888"/>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7C4888"/>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7C4888"/>
    <w:pPr>
      <w:spacing w:before="200"/>
      <w:outlineLvl w:val="4"/>
    </w:pPr>
    <w:rPr>
      <w:rFonts w:asciiTheme="majorHAnsi" w:eastAsiaTheme="majorEastAsia" w:hAnsiTheme="majorHAnsi" w:cstheme="majorBidi"/>
      <w:b/>
      <w:bCs/>
      <w:color w:val="808080"/>
      <w:sz w:val="22"/>
      <w:lang w:val="en-US"/>
    </w:rPr>
  </w:style>
  <w:style w:type="paragraph" w:styleId="Heading6">
    <w:name w:val="heading 6"/>
    <w:basedOn w:val="Normal"/>
    <w:next w:val="Normal"/>
    <w:link w:val="Heading6Char"/>
    <w:uiPriority w:val="99"/>
    <w:semiHidden/>
    <w:rsid w:val="007C4888"/>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7C4888"/>
    <w:pPr>
      <w:outlineLvl w:val="6"/>
    </w:pPr>
    <w:rPr>
      <w:rFonts w:asciiTheme="majorHAnsi" w:eastAsiaTheme="majorEastAsia" w:hAnsiTheme="majorHAnsi" w:cstheme="majorBidi"/>
      <w:i/>
      <w:iCs/>
      <w:sz w:val="22"/>
      <w:lang w:val="en-US" w:bidi="en-US"/>
    </w:rPr>
  </w:style>
  <w:style w:type="paragraph" w:styleId="Heading8">
    <w:name w:val="heading 8"/>
    <w:basedOn w:val="Normal"/>
    <w:next w:val="Normal"/>
    <w:link w:val="Heading8Char"/>
    <w:uiPriority w:val="99"/>
    <w:semiHidden/>
    <w:qFormat/>
    <w:rsid w:val="007C4888"/>
    <w:pPr>
      <w:outlineLvl w:val="7"/>
    </w:pPr>
    <w:rPr>
      <w:rFonts w:asciiTheme="majorHAnsi" w:eastAsiaTheme="majorEastAsia" w:hAnsiTheme="majorHAnsi" w:cstheme="majorBidi"/>
      <w:sz w:val="20"/>
      <w:szCs w:val="20"/>
      <w:lang w:val="en-US" w:bidi="en-US"/>
    </w:rPr>
  </w:style>
  <w:style w:type="paragraph" w:styleId="Heading9">
    <w:name w:val="heading 9"/>
    <w:basedOn w:val="Normal"/>
    <w:next w:val="Normal"/>
    <w:link w:val="Heading9Char"/>
    <w:uiPriority w:val="99"/>
    <w:semiHidden/>
    <w:qFormat/>
    <w:rsid w:val="007C4888"/>
    <w:pPr>
      <w:outlineLvl w:val="8"/>
    </w:pPr>
    <w:rPr>
      <w:rFonts w:asciiTheme="majorHAnsi" w:eastAsiaTheme="majorEastAsia" w:hAnsiTheme="majorHAnsi" w:cstheme="majorBidi"/>
      <w:i/>
      <w:iCs/>
      <w:spacing w:val="5"/>
      <w:sz w:val="20"/>
      <w:szCs w:val="20"/>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C4888"/>
    <w:rPr>
      <w:rFonts w:ascii="Tahoma" w:hAnsi="Tahoma" w:cs="Tahoma"/>
      <w:sz w:val="16"/>
      <w:szCs w:val="16"/>
    </w:rPr>
  </w:style>
  <w:style w:type="character" w:customStyle="1" w:styleId="BalloonTextChar">
    <w:name w:val="Balloon Text Char"/>
    <w:basedOn w:val="DefaultParagraphFont"/>
    <w:link w:val="BalloonText"/>
    <w:uiPriority w:val="99"/>
    <w:semiHidden/>
    <w:rsid w:val="007C4888"/>
    <w:rPr>
      <w:rFonts w:ascii="Tahoma" w:eastAsiaTheme="minorEastAsia" w:hAnsi="Tahoma" w:cs="Tahoma"/>
      <w:sz w:val="16"/>
      <w:szCs w:val="16"/>
      <w:lang w:val="en-GB"/>
    </w:rPr>
  </w:style>
  <w:style w:type="character" w:styleId="BookTitle">
    <w:name w:val="Book Title"/>
    <w:uiPriority w:val="99"/>
    <w:semiHidden/>
    <w:qFormat/>
    <w:rsid w:val="007C4888"/>
    <w:rPr>
      <w:i/>
      <w:iCs/>
      <w:smallCaps/>
      <w:spacing w:val="5"/>
    </w:rPr>
  </w:style>
  <w:style w:type="paragraph" w:customStyle="1" w:styleId="ECHRHeader">
    <w:name w:val="ECHR_Header"/>
    <w:aliases w:val="Ju_Header"/>
    <w:basedOn w:val="Header"/>
    <w:uiPriority w:val="4"/>
    <w:qFormat/>
    <w:rsid w:val="007C4888"/>
    <w:pPr>
      <w:tabs>
        <w:tab w:val="clear" w:pos="4536"/>
        <w:tab w:val="clear" w:pos="9072"/>
        <w:tab w:val="center" w:pos="3686"/>
        <w:tab w:val="right" w:pos="7371"/>
      </w:tabs>
      <w:jc w:val="left"/>
    </w:pPr>
    <w:rPr>
      <w:sz w:val="18"/>
    </w:rPr>
  </w:style>
  <w:style w:type="paragraph" w:customStyle="1" w:styleId="ECHRFooter">
    <w:name w:val="ECHR_Footer"/>
    <w:aliases w:val="Footer_ECHR"/>
    <w:basedOn w:val="Footer"/>
    <w:uiPriority w:val="57"/>
    <w:semiHidden/>
    <w:rsid w:val="007C4888"/>
    <w:pPr>
      <w:jc w:val="left"/>
    </w:pPr>
    <w:rPr>
      <w:sz w:val="8"/>
    </w:rPr>
  </w:style>
  <w:style w:type="character" w:styleId="Strong">
    <w:name w:val="Strong"/>
    <w:uiPriority w:val="99"/>
    <w:semiHidden/>
    <w:qFormat/>
    <w:rsid w:val="007C4888"/>
    <w:rPr>
      <w:b/>
      <w:bCs/>
    </w:rPr>
  </w:style>
  <w:style w:type="paragraph" w:styleId="NoSpacing">
    <w:name w:val="No Spacing"/>
    <w:basedOn w:val="Normal"/>
    <w:link w:val="NoSpacingChar"/>
    <w:semiHidden/>
    <w:qFormat/>
    <w:rsid w:val="007C4888"/>
    <w:rPr>
      <w:sz w:val="22"/>
      <w:lang w:val="en-US"/>
    </w:rPr>
  </w:style>
  <w:style w:type="character" w:customStyle="1" w:styleId="NoSpacingChar">
    <w:name w:val="No Spacing Char"/>
    <w:basedOn w:val="DefaultParagraphFont"/>
    <w:link w:val="NoSpacing"/>
    <w:semiHidden/>
    <w:rsid w:val="007C4888"/>
    <w:rPr>
      <w:rFonts w:eastAsiaTheme="minorEastAsia"/>
    </w:rPr>
  </w:style>
  <w:style w:type="paragraph" w:customStyle="1" w:styleId="ECHRFooterLine">
    <w:name w:val="ECHR_Footer_Line"/>
    <w:aliases w:val="Footer_Line"/>
    <w:basedOn w:val="Normal"/>
    <w:next w:val="ECHRFooter"/>
    <w:uiPriority w:val="57"/>
    <w:semiHidden/>
    <w:rsid w:val="007C4888"/>
    <w:pPr>
      <w:pBdr>
        <w:top w:val="single" w:sz="6" w:space="1" w:color="5F5F5F"/>
      </w:pBdr>
      <w:tabs>
        <w:tab w:val="center" w:pos="4536"/>
        <w:tab w:val="right" w:pos="9696"/>
      </w:tabs>
      <w:ind w:left="-680" w:right="-680"/>
      <w:jc w:val="left"/>
    </w:pPr>
    <w:rPr>
      <w:color w:val="5F5F5F"/>
    </w:rPr>
  </w:style>
  <w:style w:type="paragraph" w:customStyle="1" w:styleId="DecHTitle">
    <w:name w:val="Dec_H_Title"/>
    <w:basedOn w:val="ECHRTitleCentre1"/>
    <w:uiPriority w:val="7"/>
    <w:semiHidden/>
    <w:qFormat/>
    <w:rsid w:val="007C4888"/>
  </w:style>
  <w:style w:type="paragraph" w:customStyle="1" w:styleId="DecList">
    <w:name w:val="Dec_List"/>
    <w:basedOn w:val="Normal"/>
    <w:uiPriority w:val="9"/>
    <w:semiHidden/>
    <w:qFormat/>
    <w:rsid w:val="007C4888"/>
    <w:pPr>
      <w:spacing w:before="240"/>
      <w:ind w:left="284"/>
    </w:pPr>
  </w:style>
  <w:style w:type="paragraph" w:customStyle="1" w:styleId="DummyStyle">
    <w:name w:val="Dummy_Style"/>
    <w:basedOn w:val="Normal"/>
    <w:semiHidden/>
    <w:qFormat/>
    <w:rsid w:val="007C4888"/>
    <w:rPr>
      <w:color w:val="00B050"/>
    </w:rPr>
  </w:style>
  <w:style w:type="paragraph" w:customStyle="1" w:styleId="ECHRTitleCentre3">
    <w:name w:val="ECHR_Title_Centre_3"/>
    <w:aliases w:val="Ju_H_Article"/>
    <w:basedOn w:val="Normal"/>
    <w:next w:val="ECHRParaQuote"/>
    <w:uiPriority w:val="27"/>
    <w:qFormat/>
    <w:rsid w:val="007C4888"/>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7C4888"/>
    <w:pPr>
      <w:keepNext/>
      <w:keepLines/>
      <w:spacing w:after="240"/>
      <w:jc w:val="center"/>
      <w:outlineLvl w:val="0"/>
    </w:pPr>
    <w:rPr>
      <w:rFonts w:asciiTheme="majorHAnsi" w:hAnsiTheme="majorHAnsi"/>
      <w:sz w:val="28"/>
    </w:rPr>
  </w:style>
  <w:style w:type="paragraph" w:customStyle="1" w:styleId="JuAppQuestion">
    <w:name w:val="Ju_App_Question"/>
    <w:basedOn w:val="Normal"/>
    <w:uiPriority w:val="5"/>
    <w:semiHidden/>
    <w:qFormat/>
    <w:rsid w:val="007C4888"/>
    <w:pPr>
      <w:numPr>
        <w:numId w:val="20"/>
      </w:numPr>
      <w:jc w:val="left"/>
    </w:pPr>
    <w:rPr>
      <w:b/>
    </w:rPr>
  </w:style>
  <w:style w:type="paragraph" w:customStyle="1" w:styleId="JuCourt">
    <w:name w:val="Ju_Court"/>
    <w:basedOn w:val="Normal"/>
    <w:next w:val="Normal"/>
    <w:uiPriority w:val="16"/>
    <w:qFormat/>
    <w:rsid w:val="007C4888"/>
    <w:pPr>
      <w:tabs>
        <w:tab w:val="left" w:pos="907"/>
        <w:tab w:val="left" w:pos="1701"/>
        <w:tab w:val="right" w:pos="7371"/>
      </w:tabs>
      <w:spacing w:before="240"/>
      <w:ind w:left="397" w:hanging="397"/>
      <w:jc w:val="left"/>
    </w:pPr>
    <w:rPr>
      <w:lang w:bidi="en-US"/>
    </w:rPr>
  </w:style>
  <w:style w:type="paragraph" w:customStyle="1" w:styleId="JuInitialled">
    <w:name w:val="Ju_Initialled"/>
    <w:basedOn w:val="Normal"/>
    <w:uiPriority w:val="31"/>
    <w:qFormat/>
    <w:rsid w:val="007C4888"/>
    <w:pPr>
      <w:tabs>
        <w:tab w:val="center" w:pos="6407"/>
      </w:tabs>
      <w:spacing w:before="720"/>
      <w:jc w:val="right"/>
    </w:pPr>
  </w:style>
  <w:style w:type="paragraph" w:customStyle="1" w:styleId="ECHRTitleCentre2">
    <w:name w:val="ECHR_Title_Centre_2"/>
    <w:aliases w:val="Dec_H_Case"/>
    <w:basedOn w:val="Normal"/>
    <w:next w:val="ECHRPara"/>
    <w:uiPriority w:val="8"/>
    <w:qFormat/>
    <w:rsid w:val="007C4888"/>
    <w:pPr>
      <w:spacing w:after="240"/>
      <w:jc w:val="center"/>
      <w:outlineLvl w:val="0"/>
    </w:pPr>
    <w:rPr>
      <w:rFonts w:asciiTheme="majorHAnsi" w:hAnsiTheme="majorHAnsi"/>
    </w:rPr>
  </w:style>
  <w:style w:type="paragraph" w:customStyle="1" w:styleId="JuLista">
    <w:name w:val="Ju_List_a"/>
    <w:basedOn w:val="JuList"/>
    <w:uiPriority w:val="28"/>
    <w:qFormat/>
    <w:rsid w:val="007C4888"/>
    <w:pPr>
      <w:ind w:left="346" w:firstLine="0"/>
    </w:pPr>
  </w:style>
  <w:style w:type="paragraph" w:styleId="Title">
    <w:name w:val="Title"/>
    <w:basedOn w:val="Normal"/>
    <w:next w:val="Normal"/>
    <w:link w:val="TitleChar"/>
    <w:uiPriority w:val="99"/>
    <w:semiHidden/>
    <w:qFormat/>
    <w:rsid w:val="007C4888"/>
    <w:pPr>
      <w:pBdr>
        <w:bottom w:val="single" w:sz="4" w:space="1" w:color="auto"/>
      </w:pBdr>
      <w:contextualSpacing/>
    </w:pPr>
    <w:rPr>
      <w:rFonts w:asciiTheme="majorHAnsi" w:eastAsiaTheme="majorEastAsia" w:hAnsiTheme="majorHAnsi" w:cstheme="majorBidi"/>
      <w:spacing w:val="5"/>
      <w:sz w:val="52"/>
      <w:szCs w:val="52"/>
      <w:lang w:val="en-US" w:bidi="en-US"/>
    </w:rPr>
  </w:style>
  <w:style w:type="character" w:customStyle="1" w:styleId="TitleChar">
    <w:name w:val="Title Char"/>
    <w:basedOn w:val="DefaultParagraphFont"/>
    <w:link w:val="Title"/>
    <w:uiPriority w:val="99"/>
    <w:semiHidden/>
    <w:rsid w:val="007C4888"/>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uiPriority w:val="21"/>
    <w:qFormat/>
    <w:rsid w:val="007C4888"/>
    <w:pPr>
      <w:keepNext/>
      <w:keepLines/>
      <w:tabs>
        <w:tab w:val="left" w:pos="731"/>
      </w:tabs>
      <w:spacing w:before="240" w:after="120" w:line="240" w:lineRule="auto"/>
      <w:ind w:left="732" w:hanging="301"/>
    </w:pPr>
    <w:rPr>
      <w:b w:val="0"/>
      <w:i/>
      <w:color w:val="auto"/>
    </w:rPr>
  </w:style>
  <w:style w:type="paragraph" w:customStyle="1" w:styleId="ECHRHeading4">
    <w:name w:val="ECHR_Heading_4"/>
    <w:aliases w:val="Ju_H_a"/>
    <w:basedOn w:val="Heading4"/>
    <w:next w:val="ECHRPara"/>
    <w:uiPriority w:val="22"/>
    <w:qFormat/>
    <w:rsid w:val="007C4888"/>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7C4888"/>
    <w:pPr>
      <w:keepNext/>
      <w:keepLines/>
      <w:tabs>
        <w:tab w:val="left" w:pos="1191"/>
      </w:tabs>
      <w:spacing w:before="240" w:after="120"/>
      <w:ind w:left="1190" w:hanging="357"/>
    </w:pPr>
    <w:rPr>
      <w:b w:val="0"/>
      <w:i/>
      <w:color w:val="auto"/>
      <w:sz w:val="20"/>
      <w:lang w:val="en-GB"/>
    </w:rPr>
  </w:style>
  <w:style w:type="paragraph" w:customStyle="1" w:styleId="ECHRHeading6">
    <w:name w:val="ECHR_Heading_6"/>
    <w:aliases w:val="Ju_H_alpha"/>
    <w:basedOn w:val="Heading6"/>
    <w:next w:val="ECHRPara"/>
    <w:uiPriority w:val="24"/>
    <w:qFormat/>
    <w:rsid w:val="007C4888"/>
    <w:pPr>
      <w:keepNext/>
      <w:keepLines/>
      <w:tabs>
        <w:tab w:val="left" w:pos="1372"/>
      </w:tabs>
      <w:spacing w:before="240" w:after="120" w:line="240" w:lineRule="auto"/>
      <w:ind w:left="1373" w:hanging="335"/>
    </w:pPr>
    <w:rPr>
      <w:b w:val="0"/>
      <w:i w:val="0"/>
      <w:color w:val="auto"/>
      <w:sz w:val="20"/>
    </w:rPr>
  </w:style>
  <w:style w:type="paragraph" w:customStyle="1" w:styleId="ECHRHeading7">
    <w:name w:val="ECHR_Heading_7"/>
    <w:aliases w:val="Ju_H_–"/>
    <w:basedOn w:val="Heading7"/>
    <w:next w:val="ECHRPara"/>
    <w:uiPriority w:val="25"/>
    <w:qFormat/>
    <w:rsid w:val="007C4888"/>
    <w:pPr>
      <w:keepNext/>
      <w:keepLines/>
      <w:spacing w:before="240" w:after="120"/>
      <w:ind w:left="1236"/>
    </w:pPr>
    <w:rPr>
      <w:sz w:val="20"/>
      <w:lang w:val="en-GB"/>
    </w:rPr>
  </w:style>
  <w:style w:type="paragraph" w:customStyle="1" w:styleId="JuQuotSub">
    <w:name w:val="Ju_Quot_Sub"/>
    <w:basedOn w:val="ECHRParaQuote"/>
    <w:uiPriority w:val="15"/>
    <w:qFormat/>
    <w:rsid w:val="007C4888"/>
    <w:pPr>
      <w:ind w:left="567"/>
    </w:pPr>
  </w:style>
  <w:style w:type="paragraph" w:customStyle="1" w:styleId="JuListi">
    <w:name w:val="Ju_List_i"/>
    <w:basedOn w:val="Normal"/>
    <w:next w:val="JuLista"/>
    <w:uiPriority w:val="28"/>
    <w:qFormat/>
    <w:rsid w:val="007C4888"/>
    <w:pPr>
      <w:ind w:left="794"/>
    </w:pPr>
  </w:style>
  <w:style w:type="character" w:customStyle="1" w:styleId="JUNAMES">
    <w:name w:val="JU_NAMES"/>
    <w:uiPriority w:val="17"/>
    <w:qFormat/>
    <w:rsid w:val="007C4888"/>
    <w:rPr>
      <w:caps w:val="0"/>
      <w:smallCaps/>
    </w:rPr>
  </w:style>
  <w:style w:type="paragraph" w:styleId="Header">
    <w:name w:val="header"/>
    <w:basedOn w:val="Normal"/>
    <w:link w:val="HeaderChar"/>
    <w:uiPriority w:val="57"/>
    <w:semiHidden/>
    <w:rsid w:val="007C4888"/>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7C4888"/>
    <w:rPr>
      <w:sz w:val="24"/>
      <w:lang w:val="en-GB"/>
    </w:rPr>
  </w:style>
  <w:style w:type="character" w:customStyle="1" w:styleId="Heading1Char">
    <w:name w:val="Heading 1 Char"/>
    <w:basedOn w:val="DefaultParagraphFont"/>
    <w:link w:val="Heading1"/>
    <w:uiPriority w:val="99"/>
    <w:semiHidden/>
    <w:rsid w:val="007C4888"/>
    <w:rPr>
      <w:rFonts w:asciiTheme="majorHAnsi" w:eastAsiaTheme="majorEastAsia" w:hAnsiTheme="majorHAnsi" w:cstheme="majorBidi"/>
      <w:b/>
      <w:bCs/>
      <w:color w:val="333333"/>
      <w:sz w:val="28"/>
      <w:szCs w:val="28"/>
      <w:lang w:val="en-GB"/>
    </w:rPr>
  </w:style>
  <w:style w:type="paragraph" w:customStyle="1" w:styleId="ECHRHeading1">
    <w:name w:val="ECHR_Heading_1"/>
    <w:aliases w:val="Ju_H_I_Roman"/>
    <w:basedOn w:val="Heading1"/>
    <w:next w:val="ECHRPara"/>
    <w:uiPriority w:val="19"/>
    <w:qFormat/>
    <w:rsid w:val="007C4888"/>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7C4888"/>
    <w:pPr>
      <w:keepNext/>
      <w:keepLines/>
      <w:tabs>
        <w:tab w:val="left" w:pos="584"/>
      </w:tabs>
      <w:spacing w:before="360" w:after="240"/>
      <w:ind w:left="584" w:hanging="352"/>
    </w:pPr>
    <w:rPr>
      <w:color w:val="auto"/>
      <w:sz w:val="24"/>
    </w:rPr>
  </w:style>
  <w:style w:type="character" w:customStyle="1" w:styleId="Heading2Char">
    <w:name w:val="Heading 2 Char"/>
    <w:basedOn w:val="DefaultParagraphFont"/>
    <w:link w:val="Heading2"/>
    <w:uiPriority w:val="99"/>
    <w:semiHidden/>
    <w:rsid w:val="007C4888"/>
    <w:rPr>
      <w:rFonts w:asciiTheme="majorHAnsi" w:eastAsiaTheme="majorEastAsia" w:hAnsiTheme="majorHAnsi" w:cstheme="majorBidi"/>
      <w:b/>
      <w:bCs/>
      <w:color w:val="4D4D4D"/>
      <w:sz w:val="26"/>
      <w:szCs w:val="26"/>
      <w:lang w:val="en-GB"/>
    </w:rPr>
  </w:style>
  <w:style w:type="paragraph" w:customStyle="1" w:styleId="JuParaSub">
    <w:name w:val="Ju_Para_Sub"/>
    <w:basedOn w:val="ECHRPara"/>
    <w:uiPriority w:val="13"/>
    <w:qFormat/>
    <w:rsid w:val="007C4888"/>
    <w:pPr>
      <w:ind w:left="284"/>
    </w:pPr>
  </w:style>
  <w:style w:type="paragraph" w:customStyle="1" w:styleId="JuCase">
    <w:name w:val="Ju_Case"/>
    <w:basedOn w:val="Normal"/>
    <w:next w:val="ECHRPara"/>
    <w:uiPriority w:val="10"/>
    <w:rsid w:val="007C4888"/>
    <w:pPr>
      <w:ind w:firstLine="284"/>
    </w:pPr>
    <w:rPr>
      <w:b/>
    </w:rPr>
  </w:style>
  <w:style w:type="character" w:customStyle="1" w:styleId="Heading3Char">
    <w:name w:val="Heading 3 Char"/>
    <w:basedOn w:val="DefaultParagraphFont"/>
    <w:link w:val="Heading3"/>
    <w:uiPriority w:val="99"/>
    <w:semiHidden/>
    <w:rsid w:val="007C4888"/>
    <w:rPr>
      <w:rFonts w:asciiTheme="majorHAnsi" w:eastAsiaTheme="majorEastAsia" w:hAnsiTheme="majorHAnsi" w:cstheme="majorBidi"/>
      <w:b/>
      <w:bCs/>
      <w:color w:val="5F5F5F"/>
      <w:sz w:val="24"/>
      <w:lang w:val="en-GB"/>
    </w:rPr>
  </w:style>
  <w:style w:type="character" w:customStyle="1" w:styleId="Heading4Char">
    <w:name w:val="Heading 4 Char"/>
    <w:basedOn w:val="DefaultParagraphFont"/>
    <w:link w:val="Heading4"/>
    <w:uiPriority w:val="99"/>
    <w:semiHidden/>
    <w:rsid w:val="007C4888"/>
    <w:rPr>
      <w:rFonts w:asciiTheme="majorHAnsi" w:eastAsiaTheme="majorEastAsia" w:hAnsiTheme="majorHAnsi" w:cstheme="majorBidi"/>
      <w:b/>
      <w:bCs/>
      <w:i/>
      <w:iCs/>
      <w:color w:val="777777"/>
      <w:sz w:val="24"/>
      <w:lang w:val="en-GB"/>
    </w:rPr>
  </w:style>
  <w:style w:type="character" w:customStyle="1" w:styleId="Heading5Char">
    <w:name w:val="Heading 5 Char"/>
    <w:basedOn w:val="DefaultParagraphFont"/>
    <w:link w:val="Heading5"/>
    <w:uiPriority w:val="99"/>
    <w:semiHidden/>
    <w:rsid w:val="007C4888"/>
    <w:rPr>
      <w:rFonts w:asciiTheme="majorHAnsi" w:eastAsiaTheme="majorEastAsia" w:hAnsiTheme="majorHAnsi" w:cstheme="majorBidi"/>
      <w:b/>
      <w:bCs/>
      <w:color w:val="808080"/>
    </w:rPr>
  </w:style>
  <w:style w:type="character" w:styleId="SubtleEmphasis">
    <w:name w:val="Subtle Emphasis"/>
    <w:uiPriority w:val="99"/>
    <w:semiHidden/>
    <w:qFormat/>
    <w:rsid w:val="007C4888"/>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7C4888"/>
    <w:pPr>
      <w:keepNext/>
      <w:keepLines/>
      <w:spacing w:before="720" w:after="240"/>
      <w:outlineLvl w:val="0"/>
    </w:pPr>
    <w:rPr>
      <w:rFonts w:asciiTheme="majorHAnsi" w:hAnsiTheme="majorHAnsi"/>
      <w:sz w:val="28"/>
    </w:rPr>
  </w:style>
  <w:style w:type="character" w:styleId="Emphasis">
    <w:name w:val="Emphasis"/>
    <w:uiPriority w:val="99"/>
    <w:semiHidden/>
    <w:qFormat/>
    <w:rsid w:val="007C4888"/>
    <w:rPr>
      <w:b/>
      <w:bCs/>
      <w:i/>
      <w:iCs/>
      <w:spacing w:val="10"/>
      <w:bdr w:val="none" w:sz="0" w:space="0" w:color="auto"/>
      <w:shd w:val="clear" w:color="auto" w:fill="auto"/>
    </w:rPr>
  </w:style>
  <w:style w:type="paragraph" w:styleId="Footer">
    <w:name w:val="footer"/>
    <w:basedOn w:val="Normal"/>
    <w:link w:val="FooterChar"/>
    <w:uiPriority w:val="57"/>
    <w:semiHidden/>
    <w:rsid w:val="007C4888"/>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7C4888"/>
    <w:rPr>
      <w:sz w:val="24"/>
      <w:lang w:val="en-GB"/>
    </w:rPr>
  </w:style>
  <w:style w:type="character" w:styleId="FootnoteReference">
    <w:name w:val="footnote reference"/>
    <w:basedOn w:val="DefaultParagraphFont"/>
    <w:uiPriority w:val="99"/>
    <w:semiHidden/>
    <w:rsid w:val="007C4888"/>
    <w:rPr>
      <w:vertAlign w:val="superscript"/>
    </w:rPr>
  </w:style>
  <w:style w:type="paragraph" w:styleId="FootnoteText">
    <w:name w:val="footnote text"/>
    <w:basedOn w:val="Normal"/>
    <w:link w:val="FootnoteTextChar"/>
    <w:uiPriority w:val="99"/>
    <w:semiHidden/>
    <w:rsid w:val="007C4888"/>
    <w:rPr>
      <w:sz w:val="20"/>
      <w:szCs w:val="20"/>
    </w:rPr>
  </w:style>
  <w:style w:type="character" w:customStyle="1" w:styleId="FootnoteTextChar">
    <w:name w:val="Footnote Text Char"/>
    <w:basedOn w:val="DefaultParagraphFont"/>
    <w:link w:val="FootnoteText"/>
    <w:uiPriority w:val="99"/>
    <w:semiHidden/>
    <w:rsid w:val="007C4888"/>
    <w:rPr>
      <w:rFonts w:eastAsiaTheme="minorEastAsia"/>
      <w:sz w:val="20"/>
      <w:szCs w:val="20"/>
      <w:lang w:val="en-GB"/>
    </w:rPr>
  </w:style>
  <w:style w:type="character" w:customStyle="1" w:styleId="Heading6Char">
    <w:name w:val="Heading 6 Char"/>
    <w:basedOn w:val="DefaultParagraphFont"/>
    <w:link w:val="Heading6"/>
    <w:uiPriority w:val="99"/>
    <w:semiHidden/>
    <w:rsid w:val="007C4888"/>
    <w:rPr>
      <w:rFonts w:asciiTheme="majorHAnsi" w:eastAsiaTheme="majorEastAsia" w:hAnsiTheme="majorHAnsi" w:cstheme="majorBidi"/>
      <w:b/>
      <w:bCs/>
      <w:i/>
      <w:iCs/>
      <w:color w:val="7F7F7F" w:themeColor="text1" w:themeTint="80"/>
      <w:sz w:val="24"/>
      <w:lang w:val="en-GB" w:bidi="en-US"/>
    </w:rPr>
  </w:style>
  <w:style w:type="character" w:customStyle="1" w:styleId="Heading7Char">
    <w:name w:val="Heading 7 Char"/>
    <w:basedOn w:val="DefaultParagraphFont"/>
    <w:link w:val="Heading7"/>
    <w:uiPriority w:val="99"/>
    <w:semiHidden/>
    <w:rsid w:val="007C4888"/>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7C4888"/>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7C4888"/>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7C4888"/>
    <w:rPr>
      <w:color w:val="0072BC" w:themeColor="hyperlink"/>
      <w:u w:val="single"/>
    </w:rPr>
  </w:style>
  <w:style w:type="character" w:styleId="IntenseEmphasis">
    <w:name w:val="Intense Emphasis"/>
    <w:uiPriority w:val="99"/>
    <w:semiHidden/>
    <w:qFormat/>
    <w:rsid w:val="007C4888"/>
    <w:rPr>
      <w:b/>
      <w:bCs/>
    </w:rPr>
  </w:style>
  <w:style w:type="paragraph" w:styleId="IntenseQuote">
    <w:name w:val="Intense Quote"/>
    <w:basedOn w:val="Normal"/>
    <w:next w:val="Normal"/>
    <w:link w:val="IntenseQuoteChar"/>
    <w:uiPriority w:val="99"/>
    <w:semiHidden/>
    <w:qFormat/>
    <w:rsid w:val="007C4888"/>
    <w:pPr>
      <w:pBdr>
        <w:bottom w:val="single" w:sz="4" w:space="1" w:color="auto"/>
      </w:pBdr>
      <w:spacing w:before="200" w:after="280"/>
      <w:ind w:left="1008" w:right="1152"/>
    </w:pPr>
    <w:rPr>
      <w:b/>
      <w:bCs/>
      <w:i/>
      <w:iCs/>
      <w:sz w:val="22"/>
      <w:lang w:val="en-US" w:bidi="en-US"/>
    </w:rPr>
  </w:style>
  <w:style w:type="character" w:customStyle="1" w:styleId="IntenseQuoteChar">
    <w:name w:val="Intense Quote Char"/>
    <w:basedOn w:val="DefaultParagraphFont"/>
    <w:link w:val="IntenseQuote"/>
    <w:uiPriority w:val="99"/>
    <w:semiHidden/>
    <w:rsid w:val="007C4888"/>
    <w:rPr>
      <w:rFonts w:eastAsiaTheme="minorEastAsia"/>
      <w:b/>
      <w:bCs/>
      <w:i/>
      <w:iCs/>
      <w:lang w:bidi="en-US"/>
    </w:rPr>
  </w:style>
  <w:style w:type="character" w:styleId="IntenseReference">
    <w:name w:val="Intense Reference"/>
    <w:uiPriority w:val="99"/>
    <w:semiHidden/>
    <w:qFormat/>
    <w:rsid w:val="007C4888"/>
    <w:rPr>
      <w:smallCaps/>
      <w:spacing w:val="5"/>
      <w:u w:val="single"/>
    </w:rPr>
  </w:style>
  <w:style w:type="paragraph" w:styleId="ListParagraph">
    <w:name w:val="List Paragraph"/>
    <w:basedOn w:val="Normal"/>
    <w:uiPriority w:val="99"/>
    <w:semiHidden/>
    <w:qFormat/>
    <w:rsid w:val="007C4888"/>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7C4888"/>
    <w:pPr>
      <w:spacing w:before="200"/>
      <w:ind w:left="360" w:right="360"/>
    </w:pPr>
    <w:rPr>
      <w:i/>
      <w:iCs/>
      <w:sz w:val="22"/>
      <w:lang w:val="en-US" w:bidi="en-US"/>
    </w:rPr>
  </w:style>
  <w:style w:type="character" w:customStyle="1" w:styleId="QuoteChar">
    <w:name w:val="Quote Char"/>
    <w:basedOn w:val="DefaultParagraphFont"/>
    <w:link w:val="Quote"/>
    <w:uiPriority w:val="99"/>
    <w:semiHidden/>
    <w:rsid w:val="007C4888"/>
    <w:rPr>
      <w:rFonts w:eastAsiaTheme="minorEastAsia"/>
      <w:i/>
      <w:iCs/>
      <w:lang w:bidi="en-US"/>
    </w:rPr>
  </w:style>
  <w:style w:type="character" w:styleId="SubtleReference">
    <w:name w:val="Subtle Reference"/>
    <w:uiPriority w:val="99"/>
    <w:semiHidden/>
    <w:qFormat/>
    <w:rsid w:val="007C4888"/>
    <w:rPr>
      <w:smallCaps/>
    </w:rPr>
  </w:style>
  <w:style w:type="table" w:styleId="TableGrid">
    <w:name w:val="Table Grid"/>
    <w:basedOn w:val="TableNormal"/>
    <w:uiPriority w:val="59"/>
    <w:semiHidden/>
    <w:rsid w:val="007C488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7C4888"/>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7C4888"/>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7C4888"/>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7C4888"/>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7C4888"/>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7C4888"/>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7C4888"/>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customStyle="1" w:styleId="ECHRParaQuote">
    <w:name w:val="ECHR_Para_Quote"/>
    <w:aliases w:val="Ju_Quot"/>
    <w:basedOn w:val="Normal"/>
    <w:uiPriority w:val="14"/>
    <w:qFormat/>
    <w:rsid w:val="007C4888"/>
    <w:pPr>
      <w:spacing w:before="120" w:after="120"/>
      <w:ind w:left="425" w:firstLine="142"/>
    </w:pPr>
    <w:rPr>
      <w:sz w:val="20"/>
    </w:rPr>
  </w:style>
  <w:style w:type="paragraph" w:customStyle="1" w:styleId="ECHRPara">
    <w:name w:val="ECHR_Para"/>
    <w:aliases w:val="Ju_Para"/>
    <w:basedOn w:val="Normal"/>
    <w:link w:val="ECHRParaChar"/>
    <w:uiPriority w:val="12"/>
    <w:qFormat/>
    <w:rsid w:val="007C4888"/>
    <w:pPr>
      <w:ind w:firstLine="284"/>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7C4888"/>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7C4888"/>
    <w:pPr>
      <w:tabs>
        <w:tab w:val="left" w:pos="567"/>
        <w:tab w:val="left" w:pos="1134"/>
      </w:tabs>
      <w:jc w:val="left"/>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7C4888"/>
    <w:pPr>
      <w:ind w:left="340" w:hanging="340"/>
    </w:pPr>
  </w:style>
  <w:style w:type="paragraph" w:customStyle="1" w:styleId="JuSigned">
    <w:name w:val="Ju_Signed"/>
    <w:basedOn w:val="Normal"/>
    <w:next w:val="JuParaLast"/>
    <w:uiPriority w:val="32"/>
    <w:qFormat/>
    <w:rsid w:val="007C4888"/>
    <w:pPr>
      <w:tabs>
        <w:tab w:val="center" w:pos="851"/>
        <w:tab w:val="center" w:pos="6407"/>
      </w:tabs>
      <w:spacing w:before="720"/>
      <w:jc w:val="left"/>
    </w:pPr>
  </w:style>
  <w:style w:type="paragraph" w:customStyle="1" w:styleId="JuParaLast">
    <w:name w:val="Ju_Para_Last"/>
    <w:basedOn w:val="Normal"/>
    <w:next w:val="ECHRPara"/>
    <w:uiPriority w:val="30"/>
    <w:qFormat/>
    <w:rsid w:val="007C4888"/>
    <w:pPr>
      <w:keepNext/>
      <w:keepLines/>
      <w:spacing w:before="240"/>
      <w:ind w:firstLine="284"/>
    </w:pPr>
  </w:style>
  <w:style w:type="paragraph" w:customStyle="1" w:styleId="JuTitle">
    <w:name w:val="Ju_Title"/>
    <w:basedOn w:val="Normal"/>
    <w:next w:val="ECHRPara"/>
    <w:uiPriority w:val="3"/>
    <w:semiHidden/>
    <w:qFormat/>
    <w:rsid w:val="007C4888"/>
    <w:pPr>
      <w:spacing w:before="720" w:after="240"/>
      <w:jc w:val="center"/>
      <w:outlineLvl w:val="0"/>
    </w:pPr>
    <w:rPr>
      <w:rFonts w:asciiTheme="majorHAnsi" w:hAnsiTheme="majorHAnsi"/>
      <w:b/>
      <w:caps/>
    </w:rPr>
  </w:style>
  <w:style w:type="character" w:styleId="PageNumber">
    <w:name w:val="page number"/>
    <w:uiPriority w:val="99"/>
    <w:semiHidden/>
    <w:rsid w:val="00014566"/>
    <w:rPr>
      <w:sz w:val="18"/>
    </w:rPr>
  </w:style>
  <w:style w:type="paragraph" w:customStyle="1" w:styleId="OpiH1">
    <w:name w:val="Opi_H_1"/>
    <w:basedOn w:val="ECHRHeading2"/>
    <w:uiPriority w:val="42"/>
    <w:qFormat/>
    <w:rsid w:val="007C4888"/>
    <w:pPr>
      <w:ind w:left="635" w:hanging="357"/>
      <w:outlineLvl w:val="2"/>
    </w:pPr>
  </w:style>
  <w:style w:type="paragraph" w:customStyle="1" w:styleId="OpiHa">
    <w:name w:val="Opi_H_a"/>
    <w:basedOn w:val="ECHRHeading3"/>
    <w:uiPriority w:val="43"/>
    <w:qFormat/>
    <w:rsid w:val="007C4888"/>
    <w:pPr>
      <w:ind w:left="833" w:hanging="357"/>
      <w:outlineLvl w:val="3"/>
    </w:pPr>
    <w:rPr>
      <w:b/>
      <w:i w:val="0"/>
      <w:sz w:val="20"/>
    </w:rPr>
  </w:style>
  <w:style w:type="character" w:styleId="CommentReference">
    <w:name w:val="annotation reference"/>
    <w:uiPriority w:val="99"/>
    <w:semiHidden/>
    <w:rsid w:val="00014566"/>
    <w:rPr>
      <w:sz w:val="16"/>
    </w:rPr>
  </w:style>
  <w:style w:type="paragraph" w:styleId="CommentText">
    <w:name w:val="annotation text"/>
    <w:basedOn w:val="Normal"/>
    <w:link w:val="CommentTextChar"/>
    <w:uiPriority w:val="99"/>
    <w:semiHidden/>
    <w:rsid w:val="00014566"/>
    <w:rPr>
      <w:sz w:val="20"/>
    </w:rPr>
  </w:style>
  <w:style w:type="character" w:customStyle="1" w:styleId="CommentTextChar">
    <w:name w:val="Comment Text Char"/>
    <w:basedOn w:val="DefaultParagraphFont"/>
    <w:link w:val="CommentText"/>
    <w:uiPriority w:val="99"/>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basedOn w:val="DefaultParagraphFont"/>
    <w:uiPriority w:val="99"/>
    <w:semiHidden/>
    <w:rsid w:val="007C4888"/>
    <w:rPr>
      <w:vertAlign w:val="superscript"/>
    </w:rPr>
  </w:style>
  <w:style w:type="paragraph" w:styleId="EndnoteText">
    <w:name w:val="endnote text"/>
    <w:basedOn w:val="Normal"/>
    <w:link w:val="EndnoteTextChar"/>
    <w:uiPriority w:val="99"/>
    <w:semiHidden/>
    <w:rsid w:val="007C4888"/>
    <w:rPr>
      <w:sz w:val="20"/>
      <w:szCs w:val="20"/>
    </w:rPr>
  </w:style>
  <w:style w:type="character" w:customStyle="1" w:styleId="EndnoteTextChar">
    <w:name w:val="Endnote Text Char"/>
    <w:basedOn w:val="DefaultParagraphFont"/>
    <w:link w:val="EndnoteText"/>
    <w:uiPriority w:val="99"/>
    <w:semiHidden/>
    <w:rsid w:val="007C4888"/>
    <w:rPr>
      <w:rFonts w:eastAsiaTheme="minorEastAsia"/>
      <w:sz w:val="20"/>
      <w:szCs w:val="20"/>
      <w:lang w:val="en-GB"/>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OpiHA0">
    <w:name w:val="Opi_H_A"/>
    <w:basedOn w:val="ECHRHeading1"/>
    <w:next w:val="OpiPara"/>
    <w:uiPriority w:val="41"/>
    <w:qFormat/>
    <w:rsid w:val="007C4888"/>
    <w:pPr>
      <w:tabs>
        <w:tab w:val="clear" w:pos="357"/>
      </w:tabs>
      <w:outlineLvl w:val="1"/>
    </w:pPr>
    <w:rPr>
      <w:b/>
    </w:rPr>
  </w:style>
  <w:style w:type="paragraph" w:styleId="ListBullet">
    <w:name w:val="List Bullet"/>
    <w:basedOn w:val="Normal"/>
    <w:uiPriority w:val="99"/>
    <w:semiHidden/>
    <w:rsid w:val="00014566"/>
    <w:pPr>
      <w:numPr>
        <w:numId w:val="1"/>
      </w:numPr>
    </w:pPr>
  </w:style>
  <w:style w:type="character" w:customStyle="1" w:styleId="JuITMark">
    <w:name w:val="Ju_ITMark"/>
    <w:basedOn w:val="DefaultParagraphFont"/>
    <w:uiPriority w:val="38"/>
    <w:qFormat/>
    <w:rsid w:val="007C4888"/>
    <w:rPr>
      <w:vanish w:val="0"/>
      <w:color w:val="auto"/>
      <w:sz w:val="14"/>
      <w:bdr w:val="none" w:sz="0" w:space="0" w:color="auto"/>
      <w:shd w:val="clear" w:color="auto" w:fill="BEE5FF" w:themeFill="background1" w:themeFillTint="33"/>
    </w:rPr>
  </w:style>
  <w:style w:type="paragraph" w:styleId="Subtitle">
    <w:name w:val="Subtitle"/>
    <w:basedOn w:val="Normal"/>
    <w:next w:val="Normal"/>
    <w:link w:val="SubtitleChar"/>
    <w:uiPriority w:val="99"/>
    <w:semiHidden/>
    <w:qFormat/>
    <w:rsid w:val="007C4888"/>
    <w:pPr>
      <w:spacing w:after="600"/>
    </w:pPr>
    <w:rPr>
      <w:rFonts w:asciiTheme="majorHAnsi" w:eastAsiaTheme="majorEastAsia" w:hAnsiTheme="majorHAnsi" w:cstheme="majorBidi"/>
      <w:i/>
      <w:iCs/>
      <w:spacing w:val="13"/>
      <w:szCs w:val="24"/>
      <w:lang w:val="en-US" w:bidi="en-US"/>
    </w:rPr>
  </w:style>
  <w:style w:type="character" w:customStyle="1" w:styleId="SubtitleChar">
    <w:name w:val="Subtitle Char"/>
    <w:basedOn w:val="DefaultParagraphFont"/>
    <w:link w:val="Subtitle"/>
    <w:uiPriority w:val="99"/>
    <w:semiHidden/>
    <w:rsid w:val="007C4888"/>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styleId="NoteHeading">
    <w:name w:val="Note Heading"/>
    <w:basedOn w:val="Normal"/>
    <w:next w:val="Normal"/>
    <w:link w:val="NoteHeadingChar"/>
    <w:uiPriority w:val="99"/>
    <w:semiHidden/>
    <w:rsid w:val="00014566"/>
  </w:style>
  <w:style w:type="character" w:customStyle="1" w:styleId="NoteHeadingChar">
    <w:name w:val="Note Heading Char"/>
    <w:basedOn w:val="DefaultParagraphFont"/>
    <w:link w:val="NoteHeading"/>
    <w:uiPriority w:val="99"/>
    <w:semiHidden/>
    <w:rsid w:val="00014566"/>
    <w:rPr>
      <w:rFonts w:eastAsiaTheme="minorEastAsia"/>
      <w:sz w:val="24"/>
    </w:rPr>
  </w:style>
  <w:style w:type="character" w:styleId="PlaceholderText">
    <w:name w:val="Placeholder Text"/>
    <w:basedOn w:val="DefaultParagraphFont"/>
    <w:uiPriority w:val="99"/>
    <w:semiHidden/>
    <w:rsid w:val="007C4888"/>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014566"/>
    <w:pPr>
      <w:suppressAutoHyphens/>
    </w:pPr>
    <w:rPr>
      <w:lang w:val="fr-FR"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7C4888"/>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7C4888"/>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paragraph" w:customStyle="1" w:styleId="OpiHi">
    <w:name w:val="Opi_H_i"/>
    <w:basedOn w:val="ECHRHeading4"/>
    <w:uiPriority w:val="44"/>
    <w:qFormat/>
    <w:rsid w:val="007C4888"/>
    <w:pPr>
      <w:ind w:left="1037" w:hanging="357"/>
      <w:outlineLvl w:val="4"/>
    </w:pPr>
    <w:rPr>
      <w:b w:val="0"/>
      <w:i/>
    </w:rPr>
  </w:style>
  <w:style w:type="paragraph" w:customStyle="1" w:styleId="OpiPara">
    <w:name w:val="Opi_Para"/>
    <w:basedOn w:val="ECHRPara"/>
    <w:uiPriority w:val="46"/>
    <w:qFormat/>
    <w:rsid w:val="007C4888"/>
  </w:style>
  <w:style w:type="paragraph" w:customStyle="1" w:styleId="OpiParaSub">
    <w:name w:val="Opi_Para_Sub"/>
    <w:basedOn w:val="JuParaSub"/>
    <w:uiPriority w:val="47"/>
    <w:qFormat/>
    <w:rsid w:val="007C4888"/>
  </w:style>
  <w:style w:type="paragraph" w:customStyle="1" w:styleId="OpiQuot">
    <w:name w:val="Opi_Quot"/>
    <w:basedOn w:val="ECHRParaQuote"/>
    <w:uiPriority w:val="48"/>
    <w:qFormat/>
    <w:rsid w:val="007C4888"/>
  </w:style>
  <w:style w:type="paragraph" w:customStyle="1" w:styleId="OpiQuotSub">
    <w:name w:val="Opi_Quot_Sub"/>
    <w:basedOn w:val="JuQuotSub"/>
    <w:uiPriority w:val="49"/>
    <w:qFormat/>
    <w:rsid w:val="007C4888"/>
  </w:style>
  <w:style w:type="paragraph" w:customStyle="1" w:styleId="OpiTranslation">
    <w:name w:val="Opi_Translation"/>
    <w:basedOn w:val="Normal"/>
    <w:next w:val="OpiPara"/>
    <w:uiPriority w:val="40"/>
    <w:qFormat/>
    <w:rsid w:val="007C4888"/>
    <w:pPr>
      <w:jc w:val="center"/>
      <w:outlineLvl w:val="0"/>
    </w:pPr>
    <w:rPr>
      <w:i/>
    </w:rPr>
  </w:style>
  <w:style w:type="paragraph" w:customStyle="1" w:styleId="JuHeaderLandscape">
    <w:name w:val="Ju_Header_Landscape"/>
    <w:basedOn w:val="ECHRHeader"/>
    <w:uiPriority w:val="4"/>
    <w:qFormat/>
    <w:rsid w:val="007C4888"/>
    <w:pPr>
      <w:tabs>
        <w:tab w:val="clear" w:pos="3686"/>
        <w:tab w:val="clear" w:pos="7371"/>
        <w:tab w:val="center" w:pos="6146"/>
        <w:tab w:val="right" w:pos="12293"/>
      </w:tabs>
    </w:pPr>
  </w:style>
  <w:style w:type="character" w:customStyle="1" w:styleId="ECHRParaChar">
    <w:name w:val="ECHR_Para Char"/>
    <w:aliases w:val="Ju_Para Char"/>
    <w:link w:val="ECHRPara"/>
    <w:uiPriority w:val="12"/>
    <w:rsid w:val="00C82108"/>
    <w:rPr>
      <w:rFonts w:eastAsiaTheme="minorEastAsia"/>
      <w:sz w:val="24"/>
      <w:lang w:val="en-GB"/>
    </w:rPr>
  </w:style>
  <w:style w:type="paragraph" w:styleId="Revision">
    <w:name w:val="Revision"/>
    <w:hidden/>
    <w:uiPriority w:val="99"/>
    <w:semiHidden/>
    <w:rsid w:val="00755B4D"/>
    <w:rPr>
      <w:rFonts w:eastAsiaTheme="minorEastAsia"/>
      <w:sz w:val="24"/>
    </w:rPr>
  </w:style>
  <w:style w:type="paragraph" w:customStyle="1" w:styleId="jupara">
    <w:name w:val="jupara"/>
    <w:basedOn w:val="Normal"/>
    <w:rsid w:val="000630B5"/>
    <w:pPr>
      <w:ind w:firstLine="284"/>
    </w:pPr>
    <w:rPr>
      <w:rFonts w:ascii="Times New Roman" w:eastAsia="Times New Roman" w:hAnsi="Times New Roman" w:cs="Times New Roman"/>
      <w:szCs w:val="24"/>
      <w:lang w:eastAsia="en-GB"/>
    </w:rPr>
  </w:style>
  <w:style w:type="paragraph" w:customStyle="1" w:styleId="jucase0">
    <w:name w:val="jucase"/>
    <w:basedOn w:val="Normal"/>
    <w:rsid w:val="000630B5"/>
    <w:pPr>
      <w:ind w:firstLine="284"/>
    </w:pPr>
    <w:rPr>
      <w:rFonts w:ascii="Times New Roman" w:eastAsia="Times New Roman" w:hAnsi="Times New Roman" w:cs="Times New Roman"/>
      <w:b/>
      <w:bCs/>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144">
      <w:bodyDiv w:val="1"/>
      <w:marLeft w:val="0"/>
      <w:marRight w:val="0"/>
      <w:marTop w:val="0"/>
      <w:marBottom w:val="0"/>
      <w:divBdr>
        <w:top w:val="none" w:sz="0" w:space="0" w:color="auto"/>
        <w:left w:val="none" w:sz="0" w:space="0" w:color="auto"/>
        <w:bottom w:val="none" w:sz="0" w:space="0" w:color="auto"/>
        <w:right w:val="none" w:sz="0" w:space="0" w:color="auto"/>
      </w:divBdr>
      <w:divsChild>
        <w:div w:id="1291788497">
          <w:marLeft w:val="0"/>
          <w:marRight w:val="0"/>
          <w:marTop w:val="0"/>
          <w:marBottom w:val="0"/>
          <w:divBdr>
            <w:top w:val="none" w:sz="0" w:space="0" w:color="auto"/>
            <w:left w:val="none" w:sz="0" w:space="0" w:color="auto"/>
            <w:bottom w:val="none" w:sz="0" w:space="0" w:color="auto"/>
            <w:right w:val="none" w:sz="0" w:space="0" w:color="auto"/>
          </w:divBdr>
          <w:divsChild>
            <w:div w:id="1465000637">
              <w:marLeft w:val="0"/>
              <w:marRight w:val="0"/>
              <w:marTop w:val="0"/>
              <w:marBottom w:val="0"/>
              <w:divBdr>
                <w:top w:val="none" w:sz="0" w:space="0" w:color="auto"/>
                <w:left w:val="none" w:sz="0" w:space="0" w:color="auto"/>
                <w:bottom w:val="none" w:sz="0" w:space="0" w:color="auto"/>
                <w:right w:val="none" w:sz="0" w:space="0" w:color="auto"/>
              </w:divBdr>
              <w:divsChild>
                <w:div w:id="1402094052">
                  <w:marLeft w:val="0"/>
                  <w:marRight w:val="0"/>
                  <w:marTop w:val="0"/>
                  <w:marBottom w:val="0"/>
                  <w:divBdr>
                    <w:top w:val="none" w:sz="0" w:space="0" w:color="auto"/>
                    <w:left w:val="none" w:sz="0" w:space="0" w:color="auto"/>
                    <w:bottom w:val="none" w:sz="0" w:space="0" w:color="auto"/>
                    <w:right w:val="none" w:sz="0" w:space="0" w:color="auto"/>
                  </w:divBdr>
                  <w:divsChild>
                    <w:div w:id="148786444">
                      <w:marLeft w:val="0"/>
                      <w:marRight w:val="0"/>
                      <w:marTop w:val="0"/>
                      <w:marBottom w:val="0"/>
                      <w:divBdr>
                        <w:top w:val="none" w:sz="0" w:space="0" w:color="auto"/>
                        <w:left w:val="none" w:sz="0" w:space="0" w:color="auto"/>
                        <w:bottom w:val="none" w:sz="0" w:space="0" w:color="auto"/>
                        <w:right w:val="none" w:sz="0" w:space="0" w:color="auto"/>
                      </w:divBdr>
                      <w:divsChild>
                        <w:div w:id="778724256">
                          <w:marLeft w:val="0"/>
                          <w:marRight w:val="0"/>
                          <w:marTop w:val="0"/>
                          <w:marBottom w:val="0"/>
                          <w:divBdr>
                            <w:top w:val="none" w:sz="0" w:space="0" w:color="auto"/>
                            <w:left w:val="none" w:sz="0" w:space="0" w:color="auto"/>
                            <w:bottom w:val="none" w:sz="0" w:space="0" w:color="auto"/>
                            <w:right w:val="none" w:sz="0" w:space="0" w:color="auto"/>
                          </w:divBdr>
                          <w:divsChild>
                            <w:div w:id="465466224">
                              <w:marLeft w:val="0"/>
                              <w:marRight w:val="0"/>
                              <w:marTop w:val="0"/>
                              <w:marBottom w:val="0"/>
                              <w:divBdr>
                                <w:top w:val="none" w:sz="0" w:space="0" w:color="auto"/>
                                <w:left w:val="none" w:sz="0" w:space="0" w:color="auto"/>
                                <w:bottom w:val="none" w:sz="0" w:space="0" w:color="auto"/>
                                <w:right w:val="none" w:sz="0" w:space="0" w:color="auto"/>
                              </w:divBdr>
                              <w:divsChild>
                                <w:div w:id="1044674943">
                                  <w:marLeft w:val="0"/>
                                  <w:marRight w:val="0"/>
                                  <w:marTop w:val="0"/>
                                  <w:marBottom w:val="0"/>
                                  <w:divBdr>
                                    <w:top w:val="none" w:sz="0" w:space="0" w:color="auto"/>
                                    <w:left w:val="none" w:sz="0" w:space="0" w:color="auto"/>
                                    <w:bottom w:val="none" w:sz="0" w:space="0" w:color="auto"/>
                                    <w:right w:val="none" w:sz="0" w:space="0" w:color="auto"/>
                                  </w:divBdr>
                                  <w:divsChild>
                                    <w:div w:id="1062948057">
                                      <w:marLeft w:val="0"/>
                                      <w:marRight w:val="0"/>
                                      <w:marTop w:val="0"/>
                                      <w:marBottom w:val="0"/>
                                      <w:divBdr>
                                        <w:top w:val="none" w:sz="0" w:space="0" w:color="auto"/>
                                        <w:left w:val="none" w:sz="0" w:space="0" w:color="auto"/>
                                        <w:bottom w:val="none" w:sz="0" w:space="0" w:color="auto"/>
                                        <w:right w:val="none" w:sz="0" w:space="0" w:color="auto"/>
                                      </w:divBdr>
                                      <w:divsChild>
                                        <w:div w:id="1001202839">
                                          <w:marLeft w:val="0"/>
                                          <w:marRight w:val="0"/>
                                          <w:marTop w:val="0"/>
                                          <w:marBottom w:val="0"/>
                                          <w:divBdr>
                                            <w:top w:val="none" w:sz="0" w:space="0" w:color="auto"/>
                                            <w:left w:val="none" w:sz="0" w:space="0" w:color="auto"/>
                                            <w:bottom w:val="none" w:sz="0" w:space="0" w:color="auto"/>
                                            <w:right w:val="none" w:sz="0" w:space="0" w:color="auto"/>
                                          </w:divBdr>
                                          <w:divsChild>
                                            <w:div w:id="366688788">
                                              <w:marLeft w:val="0"/>
                                              <w:marRight w:val="0"/>
                                              <w:marTop w:val="0"/>
                                              <w:marBottom w:val="0"/>
                                              <w:divBdr>
                                                <w:top w:val="none" w:sz="0" w:space="0" w:color="auto"/>
                                                <w:left w:val="none" w:sz="0" w:space="0" w:color="auto"/>
                                                <w:bottom w:val="none" w:sz="0" w:space="0" w:color="auto"/>
                                                <w:right w:val="none" w:sz="0" w:space="0" w:color="auto"/>
                                              </w:divBdr>
                                              <w:divsChild>
                                                <w:div w:id="116998089">
                                                  <w:marLeft w:val="0"/>
                                                  <w:marRight w:val="0"/>
                                                  <w:marTop w:val="0"/>
                                                  <w:marBottom w:val="0"/>
                                                  <w:divBdr>
                                                    <w:top w:val="none" w:sz="0" w:space="0" w:color="auto"/>
                                                    <w:left w:val="none" w:sz="0" w:space="0" w:color="auto"/>
                                                    <w:bottom w:val="none" w:sz="0" w:space="0" w:color="auto"/>
                                                    <w:right w:val="none" w:sz="0" w:space="0" w:color="auto"/>
                                                  </w:divBdr>
                                                  <w:divsChild>
                                                    <w:div w:id="78412679">
                                                      <w:marLeft w:val="0"/>
                                                      <w:marRight w:val="0"/>
                                                      <w:marTop w:val="0"/>
                                                      <w:marBottom w:val="0"/>
                                                      <w:divBdr>
                                                        <w:top w:val="none" w:sz="0" w:space="0" w:color="auto"/>
                                                        <w:left w:val="none" w:sz="0" w:space="0" w:color="auto"/>
                                                        <w:bottom w:val="none" w:sz="0" w:space="0" w:color="auto"/>
                                                        <w:right w:val="none" w:sz="0" w:space="0" w:color="auto"/>
                                                      </w:divBdr>
                                                      <w:divsChild>
                                                        <w:div w:id="158722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26381965">
      <w:bodyDiv w:val="1"/>
      <w:marLeft w:val="0"/>
      <w:marRight w:val="0"/>
      <w:marTop w:val="0"/>
      <w:marBottom w:val="0"/>
      <w:divBdr>
        <w:top w:val="none" w:sz="0" w:space="0" w:color="auto"/>
        <w:left w:val="none" w:sz="0" w:space="0" w:color="auto"/>
        <w:bottom w:val="none" w:sz="0" w:space="0" w:color="auto"/>
        <w:right w:val="none" w:sz="0" w:space="0" w:color="auto"/>
      </w:divBdr>
      <w:divsChild>
        <w:div w:id="1279408656">
          <w:marLeft w:val="0"/>
          <w:marRight w:val="0"/>
          <w:marTop w:val="0"/>
          <w:marBottom w:val="0"/>
          <w:divBdr>
            <w:top w:val="none" w:sz="0" w:space="0" w:color="auto"/>
            <w:left w:val="none" w:sz="0" w:space="0" w:color="auto"/>
            <w:bottom w:val="none" w:sz="0" w:space="0" w:color="auto"/>
            <w:right w:val="none" w:sz="0" w:space="0" w:color="auto"/>
          </w:divBdr>
          <w:divsChild>
            <w:div w:id="412969416">
              <w:marLeft w:val="0"/>
              <w:marRight w:val="0"/>
              <w:marTop w:val="0"/>
              <w:marBottom w:val="0"/>
              <w:divBdr>
                <w:top w:val="none" w:sz="0" w:space="0" w:color="auto"/>
                <w:left w:val="none" w:sz="0" w:space="0" w:color="auto"/>
                <w:bottom w:val="none" w:sz="0" w:space="0" w:color="auto"/>
                <w:right w:val="none" w:sz="0" w:space="0" w:color="auto"/>
              </w:divBdr>
              <w:divsChild>
                <w:div w:id="675570989">
                  <w:marLeft w:val="0"/>
                  <w:marRight w:val="0"/>
                  <w:marTop w:val="0"/>
                  <w:marBottom w:val="0"/>
                  <w:divBdr>
                    <w:top w:val="none" w:sz="0" w:space="0" w:color="auto"/>
                    <w:left w:val="none" w:sz="0" w:space="0" w:color="auto"/>
                    <w:bottom w:val="none" w:sz="0" w:space="0" w:color="auto"/>
                    <w:right w:val="none" w:sz="0" w:space="0" w:color="auto"/>
                  </w:divBdr>
                  <w:divsChild>
                    <w:div w:id="1883982043">
                      <w:marLeft w:val="0"/>
                      <w:marRight w:val="0"/>
                      <w:marTop w:val="0"/>
                      <w:marBottom w:val="0"/>
                      <w:divBdr>
                        <w:top w:val="none" w:sz="0" w:space="0" w:color="auto"/>
                        <w:left w:val="none" w:sz="0" w:space="0" w:color="auto"/>
                        <w:bottom w:val="none" w:sz="0" w:space="0" w:color="auto"/>
                        <w:right w:val="none" w:sz="0" w:space="0" w:color="auto"/>
                      </w:divBdr>
                      <w:divsChild>
                        <w:div w:id="1296181914">
                          <w:marLeft w:val="0"/>
                          <w:marRight w:val="0"/>
                          <w:marTop w:val="0"/>
                          <w:marBottom w:val="0"/>
                          <w:divBdr>
                            <w:top w:val="none" w:sz="0" w:space="0" w:color="auto"/>
                            <w:left w:val="none" w:sz="0" w:space="0" w:color="auto"/>
                            <w:bottom w:val="none" w:sz="0" w:space="0" w:color="auto"/>
                            <w:right w:val="none" w:sz="0" w:space="0" w:color="auto"/>
                          </w:divBdr>
                          <w:divsChild>
                            <w:div w:id="9265161">
                              <w:marLeft w:val="0"/>
                              <w:marRight w:val="0"/>
                              <w:marTop w:val="0"/>
                              <w:marBottom w:val="0"/>
                              <w:divBdr>
                                <w:top w:val="none" w:sz="0" w:space="0" w:color="auto"/>
                                <w:left w:val="none" w:sz="0" w:space="0" w:color="auto"/>
                                <w:bottom w:val="none" w:sz="0" w:space="0" w:color="auto"/>
                                <w:right w:val="none" w:sz="0" w:space="0" w:color="auto"/>
                              </w:divBdr>
                              <w:divsChild>
                                <w:div w:id="2058771983">
                                  <w:marLeft w:val="-225"/>
                                  <w:marRight w:val="-225"/>
                                  <w:marTop w:val="0"/>
                                  <w:marBottom w:val="0"/>
                                  <w:divBdr>
                                    <w:top w:val="none" w:sz="0" w:space="0" w:color="auto"/>
                                    <w:left w:val="none" w:sz="0" w:space="0" w:color="auto"/>
                                    <w:bottom w:val="none" w:sz="0" w:space="0" w:color="auto"/>
                                    <w:right w:val="none" w:sz="0" w:space="0" w:color="auto"/>
                                  </w:divBdr>
                                  <w:divsChild>
                                    <w:div w:id="845637576">
                                      <w:marLeft w:val="0"/>
                                      <w:marRight w:val="0"/>
                                      <w:marTop w:val="0"/>
                                      <w:marBottom w:val="0"/>
                                      <w:divBdr>
                                        <w:top w:val="none" w:sz="0" w:space="0" w:color="auto"/>
                                        <w:left w:val="none" w:sz="0" w:space="0" w:color="auto"/>
                                        <w:bottom w:val="none" w:sz="0" w:space="0" w:color="auto"/>
                                        <w:right w:val="none" w:sz="0" w:space="0" w:color="auto"/>
                                      </w:divBdr>
                                      <w:divsChild>
                                        <w:div w:id="1426882120">
                                          <w:marLeft w:val="0"/>
                                          <w:marRight w:val="0"/>
                                          <w:marTop w:val="0"/>
                                          <w:marBottom w:val="0"/>
                                          <w:divBdr>
                                            <w:top w:val="none" w:sz="0" w:space="0" w:color="auto"/>
                                            <w:left w:val="none" w:sz="0" w:space="0" w:color="auto"/>
                                            <w:bottom w:val="none" w:sz="0" w:space="0" w:color="auto"/>
                                            <w:right w:val="none" w:sz="0" w:space="0" w:color="auto"/>
                                          </w:divBdr>
                                          <w:divsChild>
                                            <w:div w:id="1455057176">
                                              <w:marLeft w:val="0"/>
                                              <w:marRight w:val="0"/>
                                              <w:marTop w:val="0"/>
                                              <w:marBottom w:val="0"/>
                                              <w:divBdr>
                                                <w:top w:val="single" w:sz="6" w:space="0" w:color="EEEEEE"/>
                                                <w:left w:val="single" w:sz="6" w:space="0" w:color="EEEEEE"/>
                                                <w:bottom w:val="single" w:sz="6" w:space="0" w:color="EEEEEE"/>
                                                <w:right w:val="single" w:sz="6" w:space="0" w:color="EEEEEE"/>
                                              </w:divBdr>
                                              <w:divsChild>
                                                <w:div w:id="230966806">
                                                  <w:marLeft w:val="0"/>
                                                  <w:marRight w:val="0"/>
                                                  <w:marTop w:val="0"/>
                                                  <w:marBottom w:val="0"/>
                                                  <w:divBdr>
                                                    <w:top w:val="none" w:sz="0" w:space="0" w:color="auto"/>
                                                    <w:left w:val="none" w:sz="0" w:space="0" w:color="auto"/>
                                                    <w:bottom w:val="none" w:sz="0" w:space="0" w:color="auto"/>
                                                    <w:right w:val="none" w:sz="0" w:space="0" w:color="auto"/>
                                                  </w:divBdr>
                                                  <w:divsChild>
                                                    <w:div w:id="1769958017">
                                                      <w:marLeft w:val="0"/>
                                                      <w:marRight w:val="0"/>
                                                      <w:marTop w:val="0"/>
                                                      <w:marBottom w:val="0"/>
                                                      <w:divBdr>
                                                        <w:top w:val="none" w:sz="0" w:space="0" w:color="auto"/>
                                                        <w:left w:val="none" w:sz="0" w:space="0" w:color="auto"/>
                                                        <w:bottom w:val="none" w:sz="0" w:space="0" w:color="auto"/>
                                                        <w:right w:val="none" w:sz="0" w:space="0" w:color="auto"/>
                                                      </w:divBdr>
                                                      <w:divsChild>
                                                        <w:div w:id="1697273431">
                                                          <w:marLeft w:val="0"/>
                                                          <w:marRight w:val="0"/>
                                                          <w:marTop w:val="0"/>
                                                          <w:marBottom w:val="0"/>
                                                          <w:divBdr>
                                                            <w:top w:val="none" w:sz="0" w:space="0" w:color="auto"/>
                                                            <w:left w:val="none" w:sz="0" w:space="0" w:color="auto"/>
                                                            <w:bottom w:val="none" w:sz="0" w:space="0" w:color="auto"/>
                                                            <w:right w:val="none" w:sz="0" w:space="0" w:color="auto"/>
                                                          </w:divBdr>
                                                          <w:divsChild>
                                                            <w:div w:id="1497957782">
                                                              <w:marLeft w:val="0"/>
                                                              <w:marRight w:val="0"/>
                                                              <w:marTop w:val="0"/>
                                                              <w:marBottom w:val="0"/>
                                                              <w:divBdr>
                                                                <w:top w:val="none" w:sz="0" w:space="0" w:color="auto"/>
                                                                <w:left w:val="none" w:sz="0" w:space="0" w:color="auto"/>
                                                                <w:bottom w:val="none" w:sz="0" w:space="0" w:color="auto"/>
                                                                <w:right w:val="none" w:sz="0" w:space="0" w:color="auto"/>
                                                              </w:divBdr>
                                                              <w:divsChild>
                                                                <w:div w:id="1753309657">
                                                                  <w:marLeft w:val="0"/>
                                                                  <w:marRight w:val="0"/>
                                                                  <w:marTop w:val="0"/>
                                                                  <w:marBottom w:val="0"/>
                                                                  <w:divBdr>
                                                                    <w:top w:val="none" w:sz="0" w:space="0" w:color="auto"/>
                                                                    <w:left w:val="none" w:sz="0" w:space="0" w:color="auto"/>
                                                                    <w:bottom w:val="none" w:sz="0" w:space="0" w:color="auto"/>
                                                                    <w:right w:val="none" w:sz="0" w:space="0" w:color="auto"/>
                                                                  </w:divBdr>
                                                                  <w:divsChild>
                                                                    <w:div w:id="815800819">
                                                                      <w:marLeft w:val="0"/>
                                                                      <w:marRight w:val="0"/>
                                                                      <w:marTop w:val="0"/>
                                                                      <w:marBottom w:val="0"/>
                                                                      <w:divBdr>
                                                                        <w:top w:val="none" w:sz="0" w:space="0" w:color="auto"/>
                                                                        <w:left w:val="none" w:sz="0" w:space="0" w:color="auto"/>
                                                                        <w:bottom w:val="none" w:sz="0" w:space="0" w:color="auto"/>
                                                                        <w:right w:val="none" w:sz="0" w:space="0" w:color="auto"/>
                                                                      </w:divBdr>
                                                                      <w:divsChild>
                                                                        <w:div w:id="1395544264">
                                                                          <w:marLeft w:val="0"/>
                                                                          <w:marRight w:val="0"/>
                                                                          <w:marTop w:val="0"/>
                                                                          <w:marBottom w:val="0"/>
                                                                          <w:divBdr>
                                                                            <w:top w:val="none" w:sz="0" w:space="0" w:color="auto"/>
                                                                            <w:left w:val="none" w:sz="0" w:space="0" w:color="auto"/>
                                                                            <w:bottom w:val="none" w:sz="0" w:space="0" w:color="auto"/>
                                                                            <w:right w:val="none" w:sz="0" w:space="0" w:color="auto"/>
                                                                          </w:divBdr>
                                                                          <w:divsChild>
                                                                            <w:div w:id="577057277">
                                                                              <w:marLeft w:val="0"/>
                                                                              <w:marRight w:val="0"/>
                                                                              <w:marTop w:val="0"/>
                                                                              <w:marBottom w:val="0"/>
                                                                              <w:divBdr>
                                                                                <w:top w:val="none" w:sz="0" w:space="0" w:color="auto"/>
                                                                                <w:left w:val="none" w:sz="0" w:space="0" w:color="auto"/>
                                                                                <w:bottom w:val="none" w:sz="0" w:space="0" w:color="auto"/>
                                                                                <w:right w:val="none" w:sz="0" w:space="0" w:color="auto"/>
                                                                              </w:divBdr>
                                                                              <w:divsChild>
                                                                                <w:div w:id="2022076451">
                                                                                  <w:marLeft w:val="0"/>
                                                                                  <w:marRight w:val="0"/>
                                                                                  <w:marTop w:val="0"/>
                                                                                  <w:marBottom w:val="0"/>
                                                                                  <w:divBdr>
                                                                                    <w:top w:val="none" w:sz="0" w:space="0" w:color="auto"/>
                                                                                    <w:left w:val="none" w:sz="0" w:space="0" w:color="auto"/>
                                                                                    <w:bottom w:val="none" w:sz="0" w:space="0" w:color="auto"/>
                                                                                    <w:right w:val="none" w:sz="0" w:space="0" w:color="auto"/>
                                                                                  </w:divBdr>
                                                                                  <w:divsChild>
                                                                                    <w:div w:id="13247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6486812">
      <w:bodyDiv w:val="1"/>
      <w:marLeft w:val="0"/>
      <w:marRight w:val="0"/>
      <w:marTop w:val="0"/>
      <w:marBottom w:val="0"/>
      <w:divBdr>
        <w:top w:val="none" w:sz="0" w:space="0" w:color="auto"/>
        <w:left w:val="none" w:sz="0" w:space="0" w:color="auto"/>
        <w:bottom w:val="none" w:sz="0" w:space="0" w:color="auto"/>
        <w:right w:val="none" w:sz="0" w:space="0" w:color="auto"/>
      </w:divBdr>
    </w:div>
    <w:div w:id="571811359">
      <w:bodyDiv w:val="1"/>
      <w:marLeft w:val="0"/>
      <w:marRight w:val="0"/>
      <w:marTop w:val="0"/>
      <w:marBottom w:val="0"/>
      <w:divBdr>
        <w:top w:val="none" w:sz="0" w:space="0" w:color="auto"/>
        <w:left w:val="none" w:sz="0" w:space="0" w:color="auto"/>
        <w:bottom w:val="none" w:sz="0" w:space="0" w:color="auto"/>
        <w:right w:val="none" w:sz="0" w:space="0" w:color="auto"/>
      </w:divBdr>
    </w:div>
    <w:div w:id="971401400">
      <w:bodyDiv w:val="1"/>
      <w:marLeft w:val="0"/>
      <w:marRight w:val="0"/>
      <w:marTop w:val="0"/>
      <w:marBottom w:val="0"/>
      <w:divBdr>
        <w:top w:val="none" w:sz="0" w:space="0" w:color="auto"/>
        <w:left w:val="none" w:sz="0" w:space="0" w:color="auto"/>
        <w:bottom w:val="none" w:sz="0" w:space="0" w:color="auto"/>
        <w:right w:val="none" w:sz="0" w:space="0" w:color="auto"/>
      </w:divBdr>
    </w:div>
    <w:div w:id="991444682">
      <w:bodyDiv w:val="1"/>
      <w:marLeft w:val="0"/>
      <w:marRight w:val="0"/>
      <w:marTop w:val="0"/>
      <w:marBottom w:val="0"/>
      <w:divBdr>
        <w:top w:val="none" w:sz="0" w:space="0" w:color="auto"/>
        <w:left w:val="none" w:sz="0" w:space="0" w:color="auto"/>
        <w:bottom w:val="none" w:sz="0" w:space="0" w:color="auto"/>
        <w:right w:val="none" w:sz="0" w:space="0" w:color="auto"/>
      </w:divBdr>
      <w:divsChild>
        <w:div w:id="1087119143">
          <w:marLeft w:val="0"/>
          <w:marRight w:val="0"/>
          <w:marTop w:val="0"/>
          <w:marBottom w:val="0"/>
          <w:divBdr>
            <w:top w:val="none" w:sz="0" w:space="0" w:color="auto"/>
            <w:left w:val="none" w:sz="0" w:space="0" w:color="auto"/>
            <w:bottom w:val="none" w:sz="0" w:space="0" w:color="auto"/>
            <w:right w:val="none" w:sz="0" w:space="0" w:color="auto"/>
          </w:divBdr>
          <w:divsChild>
            <w:div w:id="1111170222">
              <w:marLeft w:val="2"/>
              <w:marRight w:val="2"/>
              <w:marTop w:val="75"/>
              <w:marBottom w:val="75"/>
              <w:divBdr>
                <w:top w:val="none" w:sz="0" w:space="0" w:color="auto"/>
                <w:left w:val="none" w:sz="0" w:space="0" w:color="auto"/>
                <w:bottom w:val="none" w:sz="0" w:space="0" w:color="auto"/>
                <w:right w:val="none" w:sz="0" w:space="0" w:color="auto"/>
              </w:divBdr>
              <w:divsChild>
                <w:div w:id="325599492">
                  <w:marLeft w:val="0"/>
                  <w:marRight w:val="0"/>
                  <w:marTop w:val="0"/>
                  <w:marBottom w:val="0"/>
                  <w:divBdr>
                    <w:top w:val="none" w:sz="0" w:space="0" w:color="auto"/>
                    <w:left w:val="none" w:sz="0" w:space="0" w:color="auto"/>
                    <w:bottom w:val="none" w:sz="0" w:space="0" w:color="auto"/>
                    <w:right w:val="none" w:sz="0" w:space="0" w:color="auto"/>
                  </w:divBdr>
                  <w:divsChild>
                    <w:div w:id="3512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358369">
      <w:bodyDiv w:val="1"/>
      <w:marLeft w:val="0"/>
      <w:marRight w:val="0"/>
      <w:marTop w:val="0"/>
      <w:marBottom w:val="0"/>
      <w:divBdr>
        <w:top w:val="none" w:sz="0" w:space="0" w:color="auto"/>
        <w:left w:val="none" w:sz="0" w:space="0" w:color="auto"/>
        <w:bottom w:val="none" w:sz="0" w:space="0" w:color="auto"/>
        <w:right w:val="none" w:sz="0" w:space="0" w:color="auto"/>
      </w:divBdr>
      <w:divsChild>
        <w:div w:id="1116678999">
          <w:marLeft w:val="0"/>
          <w:marRight w:val="0"/>
          <w:marTop w:val="0"/>
          <w:marBottom w:val="0"/>
          <w:divBdr>
            <w:top w:val="none" w:sz="0" w:space="0" w:color="auto"/>
            <w:left w:val="none" w:sz="0" w:space="0" w:color="auto"/>
            <w:bottom w:val="none" w:sz="0" w:space="0" w:color="auto"/>
            <w:right w:val="none" w:sz="0" w:space="0" w:color="auto"/>
          </w:divBdr>
          <w:divsChild>
            <w:div w:id="1362975058">
              <w:marLeft w:val="2"/>
              <w:marRight w:val="2"/>
              <w:marTop w:val="75"/>
              <w:marBottom w:val="75"/>
              <w:divBdr>
                <w:top w:val="none" w:sz="0" w:space="0" w:color="auto"/>
                <w:left w:val="none" w:sz="0" w:space="0" w:color="auto"/>
                <w:bottom w:val="none" w:sz="0" w:space="0" w:color="auto"/>
                <w:right w:val="none" w:sz="0" w:space="0" w:color="auto"/>
              </w:divBdr>
              <w:divsChild>
                <w:div w:id="2063015363">
                  <w:marLeft w:val="0"/>
                  <w:marRight w:val="0"/>
                  <w:marTop w:val="0"/>
                  <w:marBottom w:val="0"/>
                  <w:divBdr>
                    <w:top w:val="none" w:sz="0" w:space="0" w:color="auto"/>
                    <w:left w:val="none" w:sz="0" w:space="0" w:color="auto"/>
                    <w:bottom w:val="none" w:sz="0" w:space="0" w:color="auto"/>
                    <w:right w:val="none" w:sz="0" w:space="0" w:color="auto"/>
                  </w:divBdr>
                  <w:divsChild>
                    <w:div w:id="196824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3079003">
      <w:bodyDiv w:val="1"/>
      <w:marLeft w:val="0"/>
      <w:marRight w:val="0"/>
      <w:marTop w:val="0"/>
      <w:marBottom w:val="0"/>
      <w:divBdr>
        <w:top w:val="none" w:sz="0" w:space="0" w:color="auto"/>
        <w:left w:val="none" w:sz="0" w:space="0" w:color="auto"/>
        <w:bottom w:val="none" w:sz="0" w:space="0" w:color="auto"/>
        <w:right w:val="none" w:sz="0" w:space="0" w:color="auto"/>
      </w:divBdr>
      <w:divsChild>
        <w:div w:id="343943930">
          <w:marLeft w:val="0"/>
          <w:marRight w:val="0"/>
          <w:marTop w:val="0"/>
          <w:marBottom w:val="300"/>
          <w:divBdr>
            <w:top w:val="none" w:sz="0" w:space="0" w:color="auto"/>
            <w:left w:val="none" w:sz="0" w:space="0" w:color="auto"/>
            <w:bottom w:val="none" w:sz="0" w:space="0" w:color="auto"/>
            <w:right w:val="none" w:sz="0" w:space="0" w:color="auto"/>
          </w:divBdr>
          <w:divsChild>
            <w:div w:id="1871724699">
              <w:marLeft w:val="0"/>
              <w:marRight w:val="0"/>
              <w:marTop w:val="0"/>
              <w:marBottom w:val="0"/>
              <w:divBdr>
                <w:top w:val="none" w:sz="0" w:space="0" w:color="auto"/>
                <w:left w:val="none" w:sz="0" w:space="0" w:color="auto"/>
                <w:bottom w:val="none" w:sz="0" w:space="0" w:color="auto"/>
                <w:right w:val="none" w:sz="0" w:space="0" w:color="auto"/>
              </w:divBdr>
              <w:divsChild>
                <w:div w:id="937837632">
                  <w:marLeft w:val="0"/>
                  <w:marRight w:val="0"/>
                  <w:marTop w:val="0"/>
                  <w:marBottom w:val="0"/>
                  <w:divBdr>
                    <w:top w:val="none" w:sz="0" w:space="0" w:color="auto"/>
                    <w:left w:val="none" w:sz="0" w:space="0" w:color="auto"/>
                    <w:bottom w:val="none" w:sz="0" w:space="0" w:color="auto"/>
                    <w:right w:val="none" w:sz="0" w:space="0" w:color="auto"/>
                  </w:divBdr>
                  <w:divsChild>
                    <w:div w:id="143867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431580">
      <w:bodyDiv w:val="1"/>
      <w:marLeft w:val="0"/>
      <w:marRight w:val="0"/>
      <w:marTop w:val="0"/>
      <w:marBottom w:val="0"/>
      <w:divBdr>
        <w:top w:val="none" w:sz="0" w:space="0" w:color="auto"/>
        <w:left w:val="none" w:sz="0" w:space="0" w:color="auto"/>
        <w:bottom w:val="none" w:sz="0" w:space="0" w:color="auto"/>
        <w:right w:val="none" w:sz="0" w:space="0" w:color="auto"/>
      </w:divBdr>
    </w:div>
    <w:div w:id="1813323372">
      <w:bodyDiv w:val="1"/>
      <w:marLeft w:val="0"/>
      <w:marRight w:val="0"/>
      <w:marTop w:val="0"/>
      <w:marBottom w:val="0"/>
      <w:divBdr>
        <w:top w:val="none" w:sz="0" w:space="0" w:color="auto"/>
        <w:left w:val="none" w:sz="0" w:space="0" w:color="auto"/>
        <w:bottom w:val="none" w:sz="0" w:space="0" w:color="auto"/>
        <w:right w:val="none" w:sz="0" w:space="0" w:color="auto"/>
      </w:divBdr>
      <w:divsChild>
        <w:div w:id="1550457447">
          <w:marLeft w:val="0"/>
          <w:marRight w:val="0"/>
          <w:marTop w:val="0"/>
          <w:marBottom w:val="0"/>
          <w:divBdr>
            <w:top w:val="none" w:sz="0" w:space="0" w:color="auto"/>
            <w:left w:val="none" w:sz="0" w:space="0" w:color="auto"/>
            <w:bottom w:val="none" w:sz="0" w:space="0" w:color="auto"/>
            <w:right w:val="none" w:sz="0" w:space="0" w:color="auto"/>
          </w:divBdr>
          <w:divsChild>
            <w:div w:id="736899588">
              <w:marLeft w:val="0"/>
              <w:marRight w:val="0"/>
              <w:marTop w:val="0"/>
              <w:marBottom w:val="0"/>
              <w:divBdr>
                <w:top w:val="none" w:sz="0" w:space="0" w:color="auto"/>
                <w:left w:val="none" w:sz="0" w:space="0" w:color="auto"/>
                <w:bottom w:val="none" w:sz="0" w:space="0" w:color="auto"/>
                <w:right w:val="none" w:sz="0" w:space="0" w:color="auto"/>
              </w:divBdr>
              <w:divsChild>
                <w:div w:id="2023428669">
                  <w:marLeft w:val="0"/>
                  <w:marRight w:val="0"/>
                  <w:marTop w:val="0"/>
                  <w:marBottom w:val="0"/>
                  <w:divBdr>
                    <w:top w:val="none" w:sz="0" w:space="0" w:color="auto"/>
                    <w:left w:val="none" w:sz="0" w:space="0" w:color="auto"/>
                    <w:bottom w:val="none" w:sz="0" w:space="0" w:color="auto"/>
                    <w:right w:val="none" w:sz="0" w:space="0" w:color="auto"/>
                  </w:divBdr>
                  <w:divsChild>
                    <w:div w:id="1979919813">
                      <w:marLeft w:val="0"/>
                      <w:marRight w:val="0"/>
                      <w:marTop w:val="0"/>
                      <w:marBottom w:val="0"/>
                      <w:divBdr>
                        <w:top w:val="none" w:sz="0" w:space="0" w:color="auto"/>
                        <w:left w:val="none" w:sz="0" w:space="0" w:color="auto"/>
                        <w:bottom w:val="none" w:sz="0" w:space="0" w:color="auto"/>
                        <w:right w:val="none" w:sz="0" w:space="0" w:color="auto"/>
                      </w:divBdr>
                      <w:divsChild>
                        <w:div w:id="1147360719">
                          <w:marLeft w:val="0"/>
                          <w:marRight w:val="0"/>
                          <w:marTop w:val="0"/>
                          <w:marBottom w:val="0"/>
                          <w:divBdr>
                            <w:top w:val="none" w:sz="0" w:space="0" w:color="auto"/>
                            <w:left w:val="none" w:sz="0" w:space="0" w:color="auto"/>
                            <w:bottom w:val="none" w:sz="0" w:space="0" w:color="auto"/>
                            <w:right w:val="none" w:sz="0" w:space="0" w:color="auto"/>
                          </w:divBdr>
                          <w:divsChild>
                            <w:div w:id="515655610">
                              <w:marLeft w:val="0"/>
                              <w:marRight w:val="0"/>
                              <w:marTop w:val="0"/>
                              <w:marBottom w:val="0"/>
                              <w:divBdr>
                                <w:top w:val="none" w:sz="0" w:space="0" w:color="auto"/>
                                <w:left w:val="none" w:sz="0" w:space="0" w:color="auto"/>
                                <w:bottom w:val="none" w:sz="0" w:space="0" w:color="auto"/>
                                <w:right w:val="none" w:sz="0" w:space="0" w:color="auto"/>
                              </w:divBdr>
                              <w:divsChild>
                                <w:div w:id="449666893">
                                  <w:marLeft w:val="0"/>
                                  <w:marRight w:val="0"/>
                                  <w:marTop w:val="0"/>
                                  <w:marBottom w:val="0"/>
                                  <w:divBdr>
                                    <w:top w:val="none" w:sz="0" w:space="0" w:color="auto"/>
                                    <w:left w:val="none" w:sz="0" w:space="0" w:color="auto"/>
                                    <w:bottom w:val="none" w:sz="0" w:space="0" w:color="auto"/>
                                    <w:right w:val="none" w:sz="0" w:space="0" w:color="auto"/>
                                  </w:divBdr>
                                  <w:divsChild>
                                    <w:div w:id="562105199">
                                      <w:marLeft w:val="0"/>
                                      <w:marRight w:val="0"/>
                                      <w:marTop w:val="0"/>
                                      <w:marBottom w:val="0"/>
                                      <w:divBdr>
                                        <w:top w:val="none" w:sz="0" w:space="0" w:color="auto"/>
                                        <w:left w:val="none" w:sz="0" w:space="0" w:color="auto"/>
                                        <w:bottom w:val="none" w:sz="0" w:space="0" w:color="auto"/>
                                        <w:right w:val="none" w:sz="0" w:space="0" w:color="auto"/>
                                      </w:divBdr>
                                      <w:divsChild>
                                        <w:div w:id="710888064">
                                          <w:marLeft w:val="0"/>
                                          <w:marRight w:val="0"/>
                                          <w:marTop w:val="0"/>
                                          <w:marBottom w:val="0"/>
                                          <w:divBdr>
                                            <w:top w:val="none" w:sz="0" w:space="0" w:color="auto"/>
                                            <w:left w:val="none" w:sz="0" w:space="0" w:color="auto"/>
                                            <w:bottom w:val="none" w:sz="0" w:space="0" w:color="auto"/>
                                            <w:right w:val="none" w:sz="0" w:space="0" w:color="auto"/>
                                          </w:divBdr>
                                          <w:divsChild>
                                            <w:div w:id="2067098326">
                                              <w:marLeft w:val="0"/>
                                              <w:marRight w:val="0"/>
                                              <w:marTop w:val="0"/>
                                              <w:marBottom w:val="0"/>
                                              <w:divBdr>
                                                <w:top w:val="none" w:sz="0" w:space="0" w:color="auto"/>
                                                <w:left w:val="none" w:sz="0" w:space="0" w:color="auto"/>
                                                <w:bottom w:val="none" w:sz="0" w:space="0" w:color="auto"/>
                                                <w:right w:val="none" w:sz="0" w:space="0" w:color="auto"/>
                                              </w:divBdr>
                                              <w:divsChild>
                                                <w:div w:id="634915767">
                                                  <w:marLeft w:val="0"/>
                                                  <w:marRight w:val="0"/>
                                                  <w:marTop w:val="0"/>
                                                  <w:marBottom w:val="0"/>
                                                  <w:divBdr>
                                                    <w:top w:val="none" w:sz="0" w:space="0" w:color="auto"/>
                                                    <w:left w:val="none" w:sz="0" w:space="0" w:color="auto"/>
                                                    <w:bottom w:val="none" w:sz="0" w:space="0" w:color="auto"/>
                                                    <w:right w:val="none" w:sz="0" w:space="0" w:color="auto"/>
                                                  </w:divBdr>
                                                  <w:divsChild>
                                                    <w:div w:id="727656845">
                                                      <w:marLeft w:val="0"/>
                                                      <w:marRight w:val="0"/>
                                                      <w:marTop w:val="0"/>
                                                      <w:marBottom w:val="0"/>
                                                      <w:divBdr>
                                                        <w:top w:val="none" w:sz="0" w:space="0" w:color="auto"/>
                                                        <w:left w:val="none" w:sz="0" w:space="0" w:color="auto"/>
                                                        <w:bottom w:val="none" w:sz="0" w:space="0" w:color="auto"/>
                                                        <w:right w:val="none" w:sz="0" w:space="0" w:color="auto"/>
                                                      </w:divBdr>
                                                      <w:divsChild>
                                                        <w:div w:id="205981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36872119">
      <w:bodyDiv w:val="1"/>
      <w:marLeft w:val="0"/>
      <w:marRight w:val="0"/>
      <w:marTop w:val="0"/>
      <w:marBottom w:val="0"/>
      <w:divBdr>
        <w:top w:val="none" w:sz="0" w:space="0" w:color="auto"/>
        <w:left w:val="none" w:sz="0" w:space="0" w:color="auto"/>
        <w:bottom w:val="none" w:sz="0" w:space="0" w:color="auto"/>
        <w:right w:val="none" w:sz="0" w:space="0" w:color="auto"/>
      </w:divBdr>
      <w:divsChild>
        <w:div w:id="1911841608">
          <w:marLeft w:val="0"/>
          <w:marRight w:val="0"/>
          <w:marTop w:val="0"/>
          <w:marBottom w:val="0"/>
          <w:divBdr>
            <w:top w:val="none" w:sz="0" w:space="0" w:color="auto"/>
            <w:left w:val="none" w:sz="0" w:space="0" w:color="auto"/>
            <w:bottom w:val="none" w:sz="0" w:space="0" w:color="auto"/>
            <w:right w:val="none" w:sz="0" w:space="0" w:color="auto"/>
          </w:divBdr>
          <w:divsChild>
            <w:div w:id="707801775">
              <w:marLeft w:val="2"/>
              <w:marRight w:val="2"/>
              <w:marTop w:val="75"/>
              <w:marBottom w:val="75"/>
              <w:divBdr>
                <w:top w:val="none" w:sz="0" w:space="0" w:color="auto"/>
                <w:left w:val="none" w:sz="0" w:space="0" w:color="auto"/>
                <w:bottom w:val="none" w:sz="0" w:space="0" w:color="auto"/>
                <w:right w:val="none" w:sz="0" w:space="0" w:color="auto"/>
              </w:divBdr>
              <w:divsChild>
                <w:div w:id="209196418">
                  <w:marLeft w:val="0"/>
                  <w:marRight w:val="0"/>
                  <w:marTop w:val="0"/>
                  <w:marBottom w:val="0"/>
                  <w:divBdr>
                    <w:top w:val="none" w:sz="0" w:space="0" w:color="auto"/>
                    <w:left w:val="none" w:sz="0" w:space="0" w:color="auto"/>
                    <w:bottom w:val="none" w:sz="0" w:space="0" w:color="auto"/>
                    <w:right w:val="none" w:sz="0" w:space="0" w:color="auto"/>
                  </w:divBdr>
                  <w:divsChild>
                    <w:div w:id="40857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888125">
      <w:bodyDiv w:val="1"/>
      <w:marLeft w:val="0"/>
      <w:marRight w:val="0"/>
      <w:marTop w:val="0"/>
      <w:marBottom w:val="0"/>
      <w:divBdr>
        <w:top w:val="none" w:sz="0" w:space="0" w:color="auto"/>
        <w:left w:val="none" w:sz="0" w:space="0" w:color="auto"/>
        <w:bottom w:val="none" w:sz="0" w:space="0" w:color="auto"/>
        <w:right w:val="none" w:sz="0" w:space="0" w:color="auto"/>
      </w:divBdr>
      <w:divsChild>
        <w:div w:id="212232643">
          <w:marLeft w:val="0"/>
          <w:marRight w:val="0"/>
          <w:marTop w:val="0"/>
          <w:marBottom w:val="0"/>
          <w:divBdr>
            <w:top w:val="none" w:sz="0" w:space="0" w:color="auto"/>
            <w:left w:val="none" w:sz="0" w:space="0" w:color="auto"/>
            <w:bottom w:val="none" w:sz="0" w:space="0" w:color="auto"/>
            <w:right w:val="none" w:sz="0" w:space="0" w:color="auto"/>
          </w:divBdr>
          <w:divsChild>
            <w:div w:id="562640073">
              <w:marLeft w:val="0"/>
              <w:marRight w:val="0"/>
              <w:marTop w:val="0"/>
              <w:marBottom w:val="0"/>
              <w:divBdr>
                <w:top w:val="none" w:sz="0" w:space="0" w:color="auto"/>
                <w:left w:val="none" w:sz="0" w:space="0" w:color="auto"/>
                <w:bottom w:val="none" w:sz="0" w:space="0" w:color="auto"/>
                <w:right w:val="none" w:sz="0" w:space="0" w:color="auto"/>
              </w:divBdr>
              <w:divsChild>
                <w:div w:id="877813254">
                  <w:marLeft w:val="0"/>
                  <w:marRight w:val="0"/>
                  <w:marTop w:val="0"/>
                  <w:marBottom w:val="0"/>
                  <w:divBdr>
                    <w:top w:val="none" w:sz="0" w:space="0" w:color="auto"/>
                    <w:left w:val="none" w:sz="0" w:space="0" w:color="auto"/>
                    <w:bottom w:val="none" w:sz="0" w:space="0" w:color="auto"/>
                    <w:right w:val="none" w:sz="0" w:space="0" w:color="auto"/>
                  </w:divBdr>
                  <w:divsChild>
                    <w:div w:id="724835461">
                      <w:marLeft w:val="0"/>
                      <w:marRight w:val="0"/>
                      <w:marTop w:val="0"/>
                      <w:marBottom w:val="0"/>
                      <w:divBdr>
                        <w:top w:val="none" w:sz="0" w:space="0" w:color="auto"/>
                        <w:left w:val="none" w:sz="0" w:space="0" w:color="auto"/>
                        <w:bottom w:val="none" w:sz="0" w:space="0" w:color="auto"/>
                        <w:right w:val="none" w:sz="0" w:space="0" w:color="auto"/>
                      </w:divBdr>
                      <w:divsChild>
                        <w:div w:id="1548102069">
                          <w:marLeft w:val="0"/>
                          <w:marRight w:val="0"/>
                          <w:marTop w:val="0"/>
                          <w:marBottom w:val="0"/>
                          <w:divBdr>
                            <w:top w:val="none" w:sz="0" w:space="0" w:color="auto"/>
                            <w:left w:val="none" w:sz="0" w:space="0" w:color="auto"/>
                            <w:bottom w:val="none" w:sz="0" w:space="0" w:color="auto"/>
                            <w:right w:val="none" w:sz="0" w:space="0" w:color="auto"/>
                          </w:divBdr>
                          <w:divsChild>
                            <w:div w:id="988748257">
                              <w:marLeft w:val="0"/>
                              <w:marRight w:val="0"/>
                              <w:marTop w:val="0"/>
                              <w:marBottom w:val="0"/>
                              <w:divBdr>
                                <w:top w:val="none" w:sz="0" w:space="0" w:color="auto"/>
                                <w:left w:val="none" w:sz="0" w:space="0" w:color="auto"/>
                                <w:bottom w:val="none" w:sz="0" w:space="0" w:color="auto"/>
                                <w:right w:val="none" w:sz="0" w:space="0" w:color="auto"/>
                              </w:divBdr>
                              <w:divsChild>
                                <w:div w:id="676419405">
                                  <w:marLeft w:val="0"/>
                                  <w:marRight w:val="0"/>
                                  <w:marTop w:val="0"/>
                                  <w:marBottom w:val="0"/>
                                  <w:divBdr>
                                    <w:top w:val="none" w:sz="0" w:space="0" w:color="auto"/>
                                    <w:left w:val="none" w:sz="0" w:space="0" w:color="auto"/>
                                    <w:bottom w:val="none" w:sz="0" w:space="0" w:color="auto"/>
                                    <w:right w:val="none" w:sz="0" w:space="0" w:color="auto"/>
                                  </w:divBdr>
                                  <w:divsChild>
                                    <w:div w:id="1600719313">
                                      <w:marLeft w:val="0"/>
                                      <w:marRight w:val="0"/>
                                      <w:marTop w:val="0"/>
                                      <w:marBottom w:val="0"/>
                                      <w:divBdr>
                                        <w:top w:val="none" w:sz="0" w:space="0" w:color="auto"/>
                                        <w:left w:val="none" w:sz="0" w:space="0" w:color="auto"/>
                                        <w:bottom w:val="none" w:sz="0" w:space="0" w:color="auto"/>
                                        <w:right w:val="none" w:sz="0" w:space="0" w:color="auto"/>
                                      </w:divBdr>
                                      <w:divsChild>
                                        <w:div w:id="1670519876">
                                          <w:marLeft w:val="0"/>
                                          <w:marRight w:val="0"/>
                                          <w:marTop w:val="0"/>
                                          <w:marBottom w:val="0"/>
                                          <w:divBdr>
                                            <w:top w:val="none" w:sz="0" w:space="0" w:color="auto"/>
                                            <w:left w:val="none" w:sz="0" w:space="0" w:color="auto"/>
                                            <w:bottom w:val="none" w:sz="0" w:space="0" w:color="auto"/>
                                            <w:right w:val="none" w:sz="0" w:space="0" w:color="auto"/>
                                          </w:divBdr>
                                          <w:divsChild>
                                            <w:div w:id="1029645294">
                                              <w:marLeft w:val="0"/>
                                              <w:marRight w:val="0"/>
                                              <w:marTop w:val="0"/>
                                              <w:marBottom w:val="0"/>
                                              <w:divBdr>
                                                <w:top w:val="none" w:sz="0" w:space="0" w:color="auto"/>
                                                <w:left w:val="none" w:sz="0" w:space="0" w:color="auto"/>
                                                <w:bottom w:val="none" w:sz="0" w:space="0" w:color="auto"/>
                                                <w:right w:val="none" w:sz="0" w:space="0" w:color="auto"/>
                                              </w:divBdr>
                                              <w:divsChild>
                                                <w:div w:id="560945753">
                                                  <w:marLeft w:val="0"/>
                                                  <w:marRight w:val="0"/>
                                                  <w:marTop w:val="0"/>
                                                  <w:marBottom w:val="0"/>
                                                  <w:divBdr>
                                                    <w:top w:val="none" w:sz="0" w:space="0" w:color="auto"/>
                                                    <w:left w:val="none" w:sz="0" w:space="0" w:color="auto"/>
                                                    <w:bottom w:val="none" w:sz="0" w:space="0" w:color="auto"/>
                                                    <w:right w:val="none" w:sz="0" w:space="0" w:color="auto"/>
                                                  </w:divBdr>
                                                  <w:divsChild>
                                                    <w:div w:id="103505804">
                                                      <w:marLeft w:val="0"/>
                                                      <w:marRight w:val="0"/>
                                                      <w:marTop w:val="0"/>
                                                      <w:marBottom w:val="0"/>
                                                      <w:divBdr>
                                                        <w:top w:val="none" w:sz="0" w:space="0" w:color="auto"/>
                                                        <w:left w:val="none" w:sz="0" w:space="0" w:color="auto"/>
                                                        <w:bottom w:val="none" w:sz="0" w:space="0" w:color="auto"/>
                                                        <w:right w:val="none" w:sz="0" w:space="0" w:color="auto"/>
                                                      </w:divBdr>
                                                      <w:divsChild>
                                                        <w:div w:id="389037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520832">
      <w:bodyDiv w:val="1"/>
      <w:marLeft w:val="0"/>
      <w:marRight w:val="0"/>
      <w:marTop w:val="0"/>
      <w:marBottom w:val="0"/>
      <w:divBdr>
        <w:top w:val="none" w:sz="0" w:space="0" w:color="auto"/>
        <w:left w:val="none" w:sz="0" w:space="0" w:color="auto"/>
        <w:bottom w:val="none" w:sz="0" w:space="0" w:color="auto"/>
        <w:right w:val="none" w:sz="0" w:space="0" w:color="auto"/>
      </w:divBdr>
      <w:divsChild>
        <w:div w:id="627979131">
          <w:marLeft w:val="0"/>
          <w:marRight w:val="0"/>
          <w:marTop w:val="0"/>
          <w:marBottom w:val="0"/>
          <w:divBdr>
            <w:top w:val="none" w:sz="0" w:space="0" w:color="auto"/>
            <w:left w:val="none" w:sz="0" w:space="0" w:color="auto"/>
            <w:bottom w:val="none" w:sz="0" w:space="0" w:color="auto"/>
            <w:right w:val="none" w:sz="0" w:space="0" w:color="auto"/>
          </w:divBdr>
          <w:divsChild>
            <w:div w:id="2027779978">
              <w:marLeft w:val="0"/>
              <w:marRight w:val="0"/>
              <w:marTop w:val="0"/>
              <w:marBottom w:val="0"/>
              <w:divBdr>
                <w:top w:val="none" w:sz="0" w:space="0" w:color="auto"/>
                <w:left w:val="none" w:sz="0" w:space="0" w:color="auto"/>
                <w:bottom w:val="none" w:sz="0" w:space="0" w:color="auto"/>
                <w:right w:val="none" w:sz="0" w:space="0" w:color="auto"/>
              </w:divBdr>
              <w:divsChild>
                <w:div w:id="1721242068">
                  <w:marLeft w:val="0"/>
                  <w:marRight w:val="0"/>
                  <w:marTop w:val="0"/>
                  <w:marBottom w:val="0"/>
                  <w:divBdr>
                    <w:top w:val="none" w:sz="0" w:space="0" w:color="auto"/>
                    <w:left w:val="none" w:sz="0" w:space="0" w:color="auto"/>
                    <w:bottom w:val="none" w:sz="0" w:space="0" w:color="auto"/>
                    <w:right w:val="none" w:sz="0" w:space="0" w:color="auto"/>
                  </w:divBdr>
                  <w:divsChild>
                    <w:div w:id="368190346">
                      <w:marLeft w:val="0"/>
                      <w:marRight w:val="0"/>
                      <w:marTop w:val="0"/>
                      <w:marBottom w:val="0"/>
                      <w:divBdr>
                        <w:top w:val="none" w:sz="0" w:space="0" w:color="auto"/>
                        <w:left w:val="none" w:sz="0" w:space="0" w:color="auto"/>
                        <w:bottom w:val="none" w:sz="0" w:space="0" w:color="auto"/>
                        <w:right w:val="none" w:sz="0" w:space="0" w:color="auto"/>
                      </w:divBdr>
                      <w:divsChild>
                        <w:div w:id="1312979286">
                          <w:marLeft w:val="0"/>
                          <w:marRight w:val="0"/>
                          <w:marTop w:val="0"/>
                          <w:marBottom w:val="0"/>
                          <w:divBdr>
                            <w:top w:val="none" w:sz="0" w:space="0" w:color="auto"/>
                            <w:left w:val="none" w:sz="0" w:space="0" w:color="auto"/>
                            <w:bottom w:val="none" w:sz="0" w:space="0" w:color="auto"/>
                            <w:right w:val="none" w:sz="0" w:space="0" w:color="auto"/>
                          </w:divBdr>
                          <w:divsChild>
                            <w:div w:id="44369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195D13-9058-419A-ADBB-615D7AA3AE8F}"/>
</file>

<file path=customXml/itemProps2.xml><?xml version="1.0" encoding="utf-8"?>
<ds:datastoreItem xmlns:ds="http://schemas.openxmlformats.org/officeDocument/2006/customXml" ds:itemID="{61E8C886-DF9A-434A-B55E-3A43A6168F85}"/>
</file>

<file path=customXml/itemProps3.xml><?xml version="1.0" encoding="utf-8"?>
<ds:datastoreItem xmlns:ds="http://schemas.openxmlformats.org/officeDocument/2006/customXml" ds:itemID="{8D50AC22-D269-4B56-9B2C-ACC7B30CFEED}"/>
</file>

<file path=customXml/itemProps4.xml><?xml version="1.0" encoding="utf-8"?>
<ds:datastoreItem xmlns:ds="http://schemas.openxmlformats.org/officeDocument/2006/customXml" ds:itemID="{14651899-9E96-44F4-B721-BA3A80913108}"/>
</file>

<file path=docProps/app.xml><?xml version="1.0" encoding="utf-8"?>
<Properties xmlns="http://schemas.openxmlformats.org/officeDocument/2006/extended-properties" xmlns:vt="http://schemas.openxmlformats.org/officeDocument/2006/docPropsVTypes">
  <Template>Normal.dotm</Template>
  <TotalTime>0</TotalTime>
  <Pages>1</Pages>
  <Words>7932</Words>
  <Characters>45216</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53042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DJ</dc:subject>
  <dc:creator/>
  <cp:lastModifiedBy/>
  <cp:revision>1</cp:revision>
  <dcterms:created xsi:type="dcterms:W3CDTF">2019-08-31T10:33:00Z</dcterms:created>
  <dcterms:modified xsi:type="dcterms:W3CDTF">2019-08-31T10:33:00Z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43624/14</vt:lpwstr>
  </property>
  <property fmtid="{D5CDD505-2E9C-101B-9397-08002B2CF9AE}" pid="4" name="CASEID">
    <vt:lpwstr>1025349</vt:lpwstr>
  </property>
  <property fmtid="{D5CDD505-2E9C-101B-9397-08002B2CF9AE}" pid="5" name="ContentTypeId">
    <vt:lpwstr>0x010100558EB02BDB9E204AB350EDD385B68E10</vt:lpwstr>
  </property>
</Properties>
</file>